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MitbestG — Verlust der Wählbarkeit und Änderung der Zuordnung unternehmensangehöriger Aufsichtsratsmitglieder</w:t>
      </w:r>
    </w:p>
    <w:p>
      <w:r>
        <w:rPr>
          <w:color w:val="555555"/>
          <w:sz w:val="18"/>
        </w:rPr>
        <w:t xml:space="preserve">Mitbestimmungsgesetz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Verliert ein Aufsichtsratsmitglied, das nach § 7 Abs. 2 Arbeitnehmer des Unternehmens sein muß, die Wählbarkeit, so erlischt sein Amt.</w:t>
      </w:r>
    </w:p>
    <w:p>
      <w:r>
        <w:t xml:space="preserve">(2) Die Änderung der Zuordnung eines Aufsichtsratsmitglieds zu den in § 3 Abs. 1 Nr. 1 oder § 3 Abs. 1 Nr. 2 genannten Arbeitnehmern führt nicht zum Erlöschen seines Amtes.</w:t>
      </w:r>
    </w:p>
    <w:p>
      <w:r>
        <w:rPr>
          <w:color w:val="555555"/>
          <w:sz w:val="17"/>
        </w:rPr>
        <w:t xml:space="preserve">Zitiervorschlag: § 24 MitbestG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https://recht.nulegal.eu/gesetze/MitbestG/24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