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MitbestG — Anfechtung der Wahl von Aufsichtsratsmitgliedern der Arbeitnehmer</w:t>
      </w:r>
    </w:p>
    <w:p>
      <w:r>
        <w:rPr>
          <w:color w:val="555555"/>
          <w:sz w:val="18"/>
        </w:rPr>
        <w:t xml:space="preserve">Mitbestimmungsgesetz</w:t>
      </w:r>
    </w:p>
    <w:p>
      <w:r>
        <w:rPr>
          <w:color w:val="555555"/>
          <w:sz w:val="18"/>
        </w:rPr>
        <w:t xml:space="preserve">Stand: 10.06.2019 (konsolidierte Textfassung, kein amtliches Inkrafttretensdatum)</w:t>
      </w:r>
    </w:p>
    <w:p>
      <w:r>
        <w:t xml:space="preserve">(1) Die Wahl eines Aufsichtsratsmitglieds oder eines Ersatzmitglieds der Arbeitnehmer kann beim Arbeitsgericht angefochten werden, wenn gegen wesentliche Vorschriften über das Wahlrecht, die Wählbarkeit oder das Wahlverfahren verstoßen worden und eine Berichtigung nicht erfolgt ist, es sei denn, daß durch den Verstoß das Wahlergebnis nicht geändert oder beeinflußt werden konnte.</w:t>
      </w:r>
    </w:p>
    <w:p>
      <w:r>
        <w:t xml:space="preserve">(2) Zur Anfechtung berechtigt sind</w:t>
      </w:r>
    </w:p>
    <w:p>
      <w:pPr>
        <w:ind w:left="420"/>
      </w:pPr>
      <w:r>
        <w:t xml:space="preserve">1. mindestens drei wahlberechtigte Arbeitnehmer des Unternehmens,</w:t>
      </w:r>
    </w:p>
    <w:p>
      <w:pPr>
        <w:ind w:left="420"/>
      </w:pPr>
      <w:r>
        <w:t xml:space="preserve">2. der Gesamtbetriebsrat des Unternehmens oder, wenn in dem Unternehmen nur ein Betriebsrat besteht, der Betriebsrat sowie, wenn das Unternehmen herrschendes Unternehmen eines Konzerns ist, der Konzernbetriebsrat, soweit ein solcher besteht,</w:t>
      </w:r>
    </w:p>
    <w:p>
      <w:pPr>
        <w:ind w:left="420"/>
      </w:pPr>
      <w:r>
        <w:t xml:space="preserve">3. der Gesamt- oder Unternehmenssprecherausschuss des Unternehmens oder, wenn in dem Unternehmen nur ein Sprecherausschuss besteht, der Sprecherausschuss sowie, wenn das Unternehmen herrschendes Unternehmen eines Konzerns ist, der Konzernsprecherausschuss, soweit ein solcher besteht,</w:t>
      </w:r>
    </w:p>
    <w:p>
      <w:pPr>
        <w:ind w:left="420"/>
      </w:pPr>
      <w:r>
        <w:t xml:space="preserve">4. der Gesamtbetriebsrat eines anderen Unternehmens, dessen Arbeitnehmer nach diesem Gesetz an der Wahl der Aufsichtsratsmitglieder des Unternehmens teilnehmen, oder, wenn in dem anderen Unternehmen nur ein Betriebsrat besteht, der Betriebsrat,</w:t>
      </w:r>
    </w:p>
    <w:p>
      <w:pPr>
        <w:ind w:left="420"/>
      </w:pPr>
      <w:r>
        <w:t xml:space="preserve">5. der Gesamt- oder Unternehmenssprecherausschuss eines anderen Unternehmens, dessen Arbeitnehmer nach diesem Gesetz an der Wahl der Aufsichtsratsmitglieder des Unternehmens teilnehmen, oder, wenn in dem anderen Unternehmen nur ein Sprecherausschuss besteht, der Sprecherausschuss,</w:t>
      </w:r>
    </w:p>
    <w:p>
      <w:pPr>
        <w:ind w:left="420"/>
      </w:pPr>
      <w:r>
        <w:t xml:space="preserve">6. jede nach § 16 Abs. 2 vorschlagsberechtigte Gewerkschaft,</w:t>
      </w:r>
    </w:p>
    <w:p>
      <w:pPr>
        <w:ind w:left="420"/>
      </w:pPr>
      <w:r>
        <w:t xml:space="preserve">7. das zur gesetzlichen Vertretung des Unternehmens befugte Organ.</w:t>
      </w:r>
    </w:p>
    <w:p>
      <w:r>
        <w:t xml:space="preserve">Die Anfechtung ist nur binnen einer Frist von zwei Wochen, vom Tag der Veröffentlichung im Bundesanzeiger an gerechnet, zulässig.</w:t>
      </w:r>
    </w:p>
    <w:p>
      <w:r>
        <w:rPr>
          <w:color w:val="555555"/>
          <w:sz w:val="17"/>
        </w:rPr>
        <w:t xml:space="preserve">Zitiervorschlag: § 22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