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MitbestBeiG</w:t>
      </w:r>
    </w:p>
    <w:p>
      <w:r>
        <w:rPr>
          <w:color w:val="555555"/>
          <w:sz w:val="18"/>
        </w:rPr>
        <w:t xml:space="preserve">Mitbestimmungs-Beibehaltungsgesetz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tritt am Tage nach der Verkündung in Kraft. § 1 in der Fassung des Artikels 11 des Gesetzes vom 7. Dezember 2006 (BGBl. I S. 2782) ist erstmals auf die dort bezeichneten Vorgänge anzuwenden, auf die das Umwandlungssteuergesetz in der Fassung des Artikels 6 des Gesetzes vom 7. Dezember 2006 (BGBl. I S. 2782) anzuwenden ist.</w:t>
      </w:r>
    </w:p>
    <w:p>
      <w:r>
        <w:rPr>
          <w:color w:val="555555"/>
          <w:sz w:val="17"/>
        </w:rPr>
        <w:t xml:space="preserve">Zitiervorschlag: § 4 MitbestBeiG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https://recht.nulegal.eu/gesetze/MitbestBeiG/4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