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MitbestBeiG</w:t>
      </w:r>
    </w:p>
    <w:p>
      <w:r>
        <w:rPr>
          <w:color w:val="555555"/>
          <w:sz w:val="18"/>
        </w:rPr>
        <w:t xml:space="preserve">Mitbestimmungs-Beibehaltungsgesetz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nach § 1 die Konzernzugehörigkeit eines Unternehmens oder die Unternehmenszugehörigkeit eines Betriebs oder Teilbetriebs fingiert wird, sind die im Zeitpunkt des Vorgangs in dem betreffenden Unternehmen, Betrieb oder Teilbetrieb bestehenden tatsächlichen Verhältnisse maßgebend.</w:t>
      </w:r>
    </w:p>
    <w:p>
      <w:r>
        <w:rPr>
          <w:color w:val="555555"/>
          <w:sz w:val="17"/>
        </w:rPr>
        <w:t xml:space="preserve">Zitiervorschlag: § 3 MitbestBeiG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https://recht.nulegal.eu/gesetze/MitbestBeiG/3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