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MitÜbermitV</w:t>
      </w:r>
    </w:p>
    <w:p>
      <w:r>
        <w:rPr>
          <w:color w:val="555555"/>
          <w:sz w:val="18"/>
        </w:rPr>
        <w:t xml:space="preserve">Mitteilungs- und 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44a Absatz 3 in Verbindung mit § 75 Absatz 4 Satz 2 des Lebensmittel- und Futtermittelgesetzbuches in der Fassung der Bekanntmachung vom 22. August 2011 (BGBl. I S. 1770) verordnet das Bundesministerium für Ernährung, Landwirtschaft und Verbraucherschutz im Einvernehmen mit dem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MitÜbermitV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https://recht.nulegal.eu/gesetze/Mit%C3%9CbermitV/eingangsformel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