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MitÜbermitV — Übermittlungen der zuständigen Behörden</w:t>
      </w:r>
    </w:p>
    <w:p>
      <w:r>
        <w:rPr>
          <w:color w:val="555555"/>
          <w:sz w:val="18"/>
        </w:rPr>
        <w:t xml:space="preserve">Mitteilungs- und 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Übermittlung in anonymisierter Form nach § 44a Absatz 2 Satz 1 des Lebensmittel- und Futtermittelgesetzbuches (Übermittlung) ist</w:t>
      </w:r>
    </w:p>
    <w:p>
      <w:pPr>
        <w:ind w:left="420"/>
      </w:pPr>
      <w:r>
        <w:t xml:space="preserve">1. für Daten aus amtlichen Untersuchungen nach Maßgabe der Anlage 5,</w:t>
      </w:r>
    </w:p>
    <w:p>
      <w:pPr>
        <w:ind w:left="420"/>
      </w:pPr>
      <w:r>
        <w:t xml:space="preserve">2. für andere als die in Nummer 1 genannten und der Behörde vorliegenden Daten</w:t>
      </w:r>
    </w:p>
    <w:p>
      <w:r>
        <w:t xml:space="preserve">elektronisch vorzunehmen.</w:t>
      </w:r>
    </w:p>
    <w:p>
      <w:r>
        <w:t xml:space="preserve">(2) Die Übermittlung ist bis zum 15. Tag eines Monats für den Vormonat vorzunehmen.</w:t>
      </w:r>
    </w:p>
    <w:p>
      <w:r>
        <w:rPr>
          <w:color w:val="555555"/>
          <w:sz w:val="17"/>
        </w:rPr>
        <w:t xml:space="preserve">Zitiervorschlag: § 3 MitÜbermitV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https://recht.nulegal.eu/gesetze/Mit%C3%9CbermitV/3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