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MitÜbermitV — Mitteilungspflicht</w:t>
      </w:r>
    </w:p>
    <w:p>
      <w:r>
        <w:rPr>
          <w:color w:val="555555"/>
          <w:sz w:val="18"/>
        </w:rPr>
        <w:t xml:space="preserve">Mitteilungs- und 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Verpflichtung zur Mitteilung von Untersuchungsergebnissen nach § 44a Absatz 1 Satz 1 des Lebensmittel- und Futtermittelgesetzbuches besteht</w:t>
      </w:r>
    </w:p>
    <w:p>
      <w:pPr>
        <w:ind w:left="420"/>
      </w:pPr>
      <w:r>
        <w:t xml:space="preserve">1. für die in Anlage 1 genannten Kongenere von Dibenzo-p-dioxinen und Dibenzofuranen,</w:t>
      </w:r>
    </w:p>
    <w:p>
      <w:pPr>
        <w:ind w:left="420"/>
      </w:pPr>
      <w:r>
        <w:t xml:space="preserve">2. für die in Anlage 2 genannten Kongenere von dioxinähnlichen polychlorierten Biphenylen,</w:t>
      </w:r>
    </w:p>
    <w:p>
      <w:pPr>
        <w:ind w:left="420"/>
      </w:pPr>
      <w:r>
        <w:t xml:space="preserve">3. für die in Anlage 3 genannten Kongenere von nicht dioxinähnlichen polychlorierten Biphenylen und</w:t>
      </w:r>
    </w:p>
    <w:p>
      <w:pPr>
        <w:ind w:left="420"/>
      </w:pPr>
      <w:r>
        <w:t xml:space="preserve">4. für die Summe der</w:t>
      </w:r>
    </w:p>
    <w:p>
      <w:pPr>
        <w:ind w:left="780"/>
      </w:pPr>
      <w:r>
        <w:t xml:space="preserve">a) in Anlage 1 Nummer 1 bis 17 genannten Kongenere,</w:t>
      </w:r>
    </w:p>
    <w:p>
      <w:pPr>
        <w:ind w:left="780"/>
      </w:pPr>
      <w:r>
        <w:t xml:space="preserve">b) in Anlage 2 Nummer 1 bis 12 genannten Kongenere,</w:t>
      </w:r>
    </w:p>
    <w:p>
      <w:pPr>
        <w:ind w:left="780"/>
      </w:pPr>
      <w:r>
        <w:t xml:space="preserve">c) in Anlage 3 Nummer 1 bis 6 genannten Kongenere.</w:t>
      </w:r>
    </w:p>
    <w:p>
      <w:r>
        <w:t xml:space="preserve">Soweit die Untersuchung mit einer Untersuchungsmethode vorgenommen worden ist, mit der sich die in Satz 1 Nummer 1 bis 4 bezeichneten Kongenere nicht ermitteln lassen, besteht die Verpflichtung zur Mitteilung von Untersuchungsergebnissen nach § 44a Absatz 1 Satz 1 des Lebensmittel- und Futtermittelgesetzbuches nur für Dibenzo-p-dioxine, Dibenzofurane und dioxinähnliche polychlorierte Biphenyle als Stoffgruppe.</w:t>
      </w:r>
    </w:p>
    <w:p>
      <w:r>
        <w:rPr>
          <w:color w:val="555555"/>
          <w:sz w:val="17"/>
        </w:rPr>
        <w:t xml:space="preserve">Zitiervorschlag: § 1 MitÜbermitV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https://recht.nulegal.eu/gesetze/Mit%C3%9CbermitV/1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