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MindlohnÜbkG</w:t>
      </w:r>
    </w:p>
    <w:p>
      <w:r>
        <w:rPr>
          <w:color w:val="555555"/>
          <w:sz w:val="18"/>
        </w:rPr>
        <w:t xml:space="preserve">Gesetz betreffend das Internationale Übereinkommen über die Einrichtung von Verfahren zur Festsetzung von Mindestlöhnen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mit dem auf die Verkündung folgenden Tag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2 MindlohnÜbkG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https://recht.nulegal.eu/gesetze/Mindlohn%C3%9CbkG/2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