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MindZV 2016 — Mindestzuführung zur Rückstellung für Beitragsrückerstattung bei Lebensversicherungsunternehmen mit Ausnahme der Pensionskassen</w:t>
      </w:r>
    </w:p>
    <w:p>
      <w:r>
        <w:rPr>
          <w:color w:val="555555"/>
          <w:sz w:val="18"/>
        </w:rPr>
        <w:t xml:space="preserve">Mindestzuführungsverordnung</w:t>
      </w:r>
    </w:p>
    <w:p>
      <w:r>
        <w:rPr>
          <w:color w:val="555555"/>
          <w:sz w:val="18"/>
        </w:rPr>
        <w:t xml:space="preserve">Stand: 10.06.2019 (konsolidierte Textfassung, kein amtliches Inkrafttretensdatum)</w:t>
      </w:r>
    </w:p>
    <w:p>
      <w:r>
        <w:t xml:space="preserve">(1) Zur Sicherstellung einer ausreichenden Mindestzuführung zur Rückstellung für Beitragsrückerstattung müssen die überschussberechtigten Versicherungsverträge angemessen beteiligt werden</w:t>
      </w:r>
    </w:p>
    <w:p>
      <w:pPr>
        <w:ind w:left="420"/>
      </w:pPr>
      <w:r>
        <w:t xml:space="preserve">1. am Kapitalanlageergebnis (Summe der Beträge in Nachweisung 213 Zeile 07 und 08 jeweils Spalte 01 der Versicherungsberichterstattungs-Verordnung),</w:t>
      </w:r>
    </w:p>
    <w:p>
      <w:pPr>
        <w:ind w:left="420"/>
      </w:pPr>
      <w:r>
        <w:t xml:space="preserve">2. am Risikoergebnis (Summe der Beträge in Nachweisung 213 Zeile 04, 05, 12 und 13 jeweils Spalte 01 T der Versicherungsberichterstattungs-Verordnung) und</w:t>
      </w:r>
    </w:p>
    <w:p>
      <w:pPr>
        <w:ind w:left="420"/>
      </w:pPr>
      <w:r>
        <w:t xml:space="preserve">3. am übrigen Ergebnis (Summe der Beträge in Nachweisung 213 Zeile 06, 09, 10, 11, 14 und 15 jeweils Spalte 01 T der Versicherungsberichterstattungs-Verordnung).</w:t>
      </w:r>
    </w:p>
    <w:p>
      <w:r>
        <w:t xml:space="preserve">Die Mindestzuführung zur Rückstellung für Beitragsrückerstattung wird berechnet nach Absatz 2 und § 6 Absatz 2. Alt- und Neubestand werden dabei getrennt betrachtet.</w:t>
      </w:r>
    </w:p>
    <w:p>
      <w:r>
        <w:t xml:space="preserve">(2) Von der Summe der gemäß § 6 Absatz 1, §§ 7 und 8 ermittelten Beträge werden, getrennt für Alt- und Neubestand, die auf die überschussberechtigten Versicherungsverträge entfallende Direktgutschrift (Summe der Beträge in Formblatt 200 Seite 2 Zeile 25 Spalte 03, Seite 3 Zeile 11 Spalte 03 und Seite 3 Zeile 13 Spalte 03 der Versicherungsberichterstattungs-Verordnung) einschließlich der auf die überschussberechtigten Versicherungsverträge entfallenden Schlusszahlungen auf Grund der Beteiligung an den Bewertungsreserven, soweit diese Schlusszahlungen in Form einer Direktgutschrift ausgeschüttet werden, abgezogen. Ergibt sich rechnerisch eine negative Mindestzuführung zur Rückstellung für Beitragsrückerstattung, wird sie durch Null ersetzt.</w:t>
      </w:r>
    </w:p>
    <w:p>
      <w:r>
        <w:rPr>
          <w:color w:val="555555"/>
          <w:sz w:val="17"/>
        </w:rPr>
        <w:t xml:space="preserve">Zitiervorschlag: § 4 MindZV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https://recht.nulegal.eu/gesetze/MindZV%202016/4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