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MindZV 2016 — Inkrafttreten</w:t>
      </w:r>
    </w:p>
    <w:p>
      <w:r>
        <w:rPr>
          <w:color w:val="555555"/>
          <w:sz w:val="18"/>
        </w:rPr>
        <w:t xml:space="preserve">Mindestzuführungsverordnung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 nach der Verkündung in Kraft.</w:t>
      </w:r>
    </w:p>
    <w:p>
      <w:r>
        <w:rPr>
          <w:color w:val="555555"/>
          <w:sz w:val="17"/>
        </w:rPr>
        <w:t xml:space="preserve">Zitiervorschlag: § 17 MindZV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https://recht.nulegal.eu/gesetze/MindZV%202016/17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