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MindZV 2016 — Übergangsvorschrift</w:t>
      </w:r>
    </w:p>
    <w:p>
      <w:r>
        <w:rPr>
          <w:color w:val="555555"/>
          <w:sz w:val="18"/>
        </w:rPr>
        <w:t xml:space="preserve">Mindestzuführungsverordnung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dieser Verordnung sind erstmals für das Geschäftsjahr anzuwenden, das nach dem 31. Dezember 2015 beginnt.</w:t>
      </w:r>
    </w:p>
    <w:p>
      <w:r>
        <w:t xml:space="preserve">(2) Für das Geschäftsjahr, das vor dem 1. Januar 2016 begonnen hat, ist die Mindestzuführungsverordnung vom 4. April 2008 (BGBl. I S. 690), die durch Artikel 1 Nummer 11 der Verordnung vom 16. Dezember 2015 (BGBl. I S. 2345) aufgehoben worden ist, in der bis zum 31. Dezember 2015 geltenden Fassung anzuwenden.</w:t>
      </w:r>
    </w:p>
    <w:p>
      <w:r>
        <w:rPr>
          <w:color w:val="555555"/>
          <w:sz w:val="17"/>
        </w:rPr>
        <w:t xml:space="preserve">Zitiervorschlag: § 16 MindZV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https://recht.nulegal.eu/gesetze/MindZV%202016/16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MindZV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