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MindZV 2016 — Anzeigepflicht</w:t>
      </w:r>
    </w:p>
    <w:p>
      <w:r>
        <w:rPr>
          <w:color w:val="555555"/>
          <w:sz w:val="18"/>
        </w:rPr>
        <w:t xml:space="preserve">Mindestzuführungsverordnung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der Höchstbetrag des ungebundenen Teils der Rückstellung für Beitragsrückerstattung gemäß § 13 überschritten, hat das Versicherungsunternehmen unverzüglich nach Aufstellung des Jahresabschlusses die Aufsichtsbehörde darüber zu unterrichten.</w:t>
      </w:r>
    </w:p>
    <w:p>
      <w:r>
        <w:rPr>
          <w:color w:val="555555"/>
          <w:sz w:val="17"/>
        </w:rPr>
        <w:t xml:space="preserve">Zitiervorschlag: § 14 MindZV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https://recht.nulegal.eu/gesetze/MindZV%202016/14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MindZV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