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MindZV 2016 — Höchstbetrag des ungebundenen Teils der Rückstellung für Beitragsrückerstattung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Summe aus dem ungebundenen Teil der Rückstellung für Beitragsrückerstattung im Sinne des § 28 Absatz 8 Nummer 2 Buchstabe h der Versicherungsunternehmens-Rechnungslegungsverordnung und einem etwaigen bereits über das Folgejahr hinaus festgelegten Teil der Rückstellung für Beitragsrückerstattung darf nicht höher sein als folgender als Formel dargestellter Betrag:</w:t>
      </w:r>
    </w:p>
    <w:p>
      <w:r>
        <w:rPr>
          <w:rFonts w:ascii="Courier New" w:hAnsi="Courier New"/>
          <w:sz w:val="17"/>
        </w:rPr>
        <w:t xml:space="preserve">0,8 x SP + 2 x (FR + DG) + Max {0; (1 – DNZ / 0,05) x SP}.</w:t>
      </w:r>
    </w:p>
    <w:p>
      <w:r>
        <w:t xml:space="preserve">Dabei sind:</w:t>
      </w:r>
    </w:p>
    <w:p>
      <w:pPr>
        <w:ind w:left="420"/>
      </w:pPr>
      <w:r>
        <w:t xml:space="preserve">SP = im Fall von Pensionskassen der Betrag gemäß § 17 der Kapitalausstattungs-Verordnung vom 18. April 2016 (BGBl. I S. 795) in der jeweils geltenden Fassung, in allen anderen Fällen der Betrag gemäß den §§ 9 bis 14 der Kapitalausstattungs-Verordnung,</w:t>
      </w:r>
    </w:p>
    <w:p>
      <w:pPr>
        <w:ind w:left="420"/>
      </w:pPr>
      <w:r>
        <w:t xml:space="preserve">FR = der festgelegte Teil der Rückstellung für Beitragsrückerstattung im Sinne des § 28 Absatz 8 Nummer 2 Buchstabe a bis d der Versicherungsunternehmens-Rechnungslegungsverordnung, soweit er auf die Ausschüttung deklarierter Überschussanteile im Folgejahr entfällt,</w:t>
      </w:r>
    </w:p>
    <w:p>
      <w:pPr>
        <w:ind w:left="420"/>
      </w:pPr>
      <w:r>
        <w:t xml:space="preserve">DG = der im Folgejahr auf Grund der deklarierten Überschussbeteiligung zu erwartende Betrag der Direktgutschrift (Summe der Beträge in Formblatt 200 Seite 2 Zeile 25, Seite 3 Zeile 11 und 13 jeweils Spalte 03 der Versicherungsberichterstattungs-Verordnung),</w:t>
      </w:r>
    </w:p>
    <w:p>
      <w:pPr>
        <w:ind w:left="420"/>
      </w:pPr>
      <w:r>
        <w:t xml:space="preserve">DNZ = der Durchschnitt der Nettoverzinsungen der Kapitalanlagen der letzten drei Geschäftsjahre.</w:t>
      </w:r>
    </w:p>
    <w:p>
      <w:r>
        <w:t xml:space="preserve">Die Nettoverzinsung ist das Nettoergebnis aus Kapitalanlagen (Formblatt 3 der Versicherungsunternehmens-Rechnungslegungsverordnung, Ertragsposten I.3 abzüglich Aufwandsposten I.10, jedoch ohne die auf die Kapitalanlagen für Rechnung und Risiko von Inhabern von Lebensversicherungspolicen entfallenden Beträge), bezogen auf den mittleren Kapitalanlagenbestand des abgelaufenen Geschäftsjahres (Formblatt 1 der Versicherungsunternehmens-Rechnungslegungsverordnung, arithmetisches Mittel des Aktivpostens C am Bilanzstichtag des Geschäftsjahres und des Vorjahres).</w:t>
      </w:r>
    </w:p>
    <w:p>
      <w:r>
        <w:rPr>
          <w:color w:val="555555"/>
          <w:sz w:val="17"/>
        </w:rPr>
        <w:t xml:space="preserve">Zitiervorschlag: § 13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