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MindZV 2016 — Methode zur Bewertung der Zinssatzverpflichtung eines Versicherungsvertrags</w:t>
      </w:r>
    </w:p>
    <w:p>
      <w:r>
        <w:rPr>
          <w:color w:val="555555"/>
          <w:sz w:val="18"/>
        </w:rPr>
        <w:t xml:space="preserve">Mindestzuführungsverordnung</w:t>
      </w:r>
    </w:p>
    <w:p>
      <w:r>
        <w:rPr>
          <w:color w:val="555555"/>
          <w:sz w:val="18"/>
        </w:rPr>
        <w:t xml:space="preserve">Stand: 10.06.2019 (konsolidierte Textfassung, kein amtliches Inkrafttretensdatum)</w:t>
      </w:r>
    </w:p>
    <w:p>
      <w:r>
        <w:t xml:space="preserve">Zu jedem Ermittlungszeitpunkt ist der nach § 11 bestimmte Bezugszins mit dem höchsten in den nächsten 15 Jahren für einen Vertrag maßgeblichen Rechnungszins zu vergleichen. Ist der Bezugszins kleiner als der höchste maßgebliche Rechnungszins, ist die Zinssatzverpflichtung zu bewerten, indem</w:t>
      </w:r>
    </w:p>
    <w:p>
      <w:pPr>
        <w:ind w:left="420"/>
      </w:pPr>
      <w:r>
        <w:t xml:space="preserve">1. für den Zeitraum der nächsten 15 Jahre jeweils das Minimum aus dem für das jeweilige Jahr maßgeblichen Rechnungszins und dem Bezugszins und</w:t>
      </w:r>
    </w:p>
    <w:p>
      <w:pPr>
        <w:ind w:left="420"/>
      </w:pPr>
      <w:r>
        <w:t xml:space="preserve">2. für den Zeitraum nach Ablauf von 15 Jahren der jeweils maßgebliche Rechnungszins</w:t>
      </w:r>
    </w:p>
    <w:p>
      <w:r>
        <w:t xml:space="preserve">zugrunde gelegt wird. Im Übrigen sind dieselben Berechnungs- und Bewertungsansätze wie bei der Deckungsrückstellung anzuwenden.</w:t>
      </w:r>
    </w:p>
    <w:p>
      <w:r>
        <w:rPr>
          <w:color w:val="555555"/>
          <w:sz w:val="17"/>
        </w:rPr>
        <w:t xml:space="preserve">Zitiervorschlag: § 12 MindZV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https://recht.nulegal.eu/gesetze/MindZV%202016/12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