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MindZV 2016 — Maßgeblicher Euro-Zinsswapsatz</w:t>
      </w:r>
    </w:p>
    <w:p>
      <w:r>
        <w:rPr>
          <w:color w:val="555555"/>
          <w:sz w:val="18"/>
        </w:rPr>
        <w:t xml:space="preserve">Mindestzuführungsverordnung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Ermittlung des Sicherungsbedarfs aus den Versicherungsverträgen mit Zinsgarantie gemäß § 139 des Versicherungsaufsichtsgesetzes ist als Bezugszins der von der Deutschen Bundesbank gemäß § 7 der Rückstellungsabzinsungsverordnung veröffentlichte Null-Kupon-Euro-Zinsswapsatz mit einer Laufzeit von zehn Jahren am Ende desjenigen Monats zugrunde zu legen, der dem Zeitpunkt der Ermittlung der Bewertungsreserven vorangeht.</w:t>
      </w:r>
    </w:p>
    <w:p>
      <w:r>
        <w:rPr>
          <w:color w:val="555555"/>
          <w:sz w:val="17"/>
        </w:rPr>
        <w:t xml:space="preserve">Zitiervorschlag: § 11 MindZV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https://recht.nulegal.eu/gesetze/MindZV%202016/11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