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MindZV 2016 — Festverzinsliche Anlagen und Zinsabsicherungsgeschäfte</w:t>
      </w:r>
    </w:p>
    <w:p>
      <w:r>
        <w:rPr>
          <w:color w:val="555555"/>
          <w:sz w:val="18"/>
        </w:rPr>
        <w:t xml:space="preserve">Mindestzuführungsverordnung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Als festverzinsliche Anlagen und Zinsabsicherungsgeschäfte gemäß § 139 Absatz 3 des Versicherungsaufsichtsgesetzes gelten alle Kapitalanlagen gemäß den Aktivposten C.II.2, C.II.4 und C.III.2 bis C.III.5 des Formblatts 1 der Versicherungsunternehmens-Rechnungslegungsverordnung.</w:t>
      </w:r>
    </w:p>
    <w:p>
      <w:r>
        <w:t xml:space="preserve">(2) Von den Kapitalanlagen gemäß Aktivposten C.III.1 des Formblatts 1 der Versicherungsunternehmens-Rechnungslegungsverordnung werden diejenigen festverzinslichen Anlagen und Zinsabsicherungsgeschäfte berücksichtigt, die bei einer Aufgliederung der in diesen Kapitalanlagen enthaltenen Einzelpositionen entsprechend der Berichterstattung an die Aufsichtsbehörde über die Vermögensanlagen den in Absatz 1 genannten Kapitalanlagen zuzuordnen wären.</w:t>
      </w:r>
    </w:p>
    <w:p>
      <w:r>
        <w:rPr>
          <w:color w:val="555555"/>
          <w:sz w:val="17"/>
        </w:rPr>
        <w:t xml:space="preserve">Zitiervorschlag: § 10 MindZV 2016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https://recht.nulegal.eu/gesetze/MindZV%202016/10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