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MindZV 2016 — Geltungsbereich</w:t>
      </w:r>
    </w:p>
    <w:p>
      <w:r>
        <w:rPr>
          <w:color w:val="555555"/>
          <w:sz w:val="18"/>
        </w:rPr>
        <w:t xml:space="preserve">Mindestzuführungsverordnung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für Lebensversicherungsunternehmen mit Ausnahme derjenigen Pensionskassen, die gemäß § 233 Absatz 1 oder 2 des Versicherungsaufsichtsgesetzes reguliert sind und mit Genehmigung der Aufsichtsbehörde nach Maßgabe des § 211 Absatz 2 Nummer 2 des Versicherungsvertragsgesetzes von § 153 des Versicherungsvertragsgesetzes abweichende Bestimmungen getroffen haben.</w:t>
      </w:r>
    </w:p>
    <w:p>
      <w:r>
        <w:t xml:space="preserve">(2) Für Sterbekassen und gemäß § 233 Absatz 1 oder 2 des Versicherungsaufsichtsgesetzes regulierte Pensionskassen, die nicht mit Genehmigung der Aufsichtsbehörde nach Maßgabe des § 211 Absatz 2 Nummer 2 des Versicherungsvertragsgesetzes von § 153 des Versicherungsvertragsgesetzes abweichende Bestimmungen getroffen haben, gelten die §§ 2 bis 9 und 13 bis 15 nicht; darüber hinaus finden für diese Unternehmen die §§ 11 und 12 nur Anwendung, sofern sie nicht mit Genehmigung der Aufsichtsbehörde den Sicherungsbedarf aus den Versicherungsverträgen mit Zinsgarantie gemäß § 139 Absatz 4 des Versicherungsaufsichtsgesetzes nach einem abweichenden Verfahren berechnen.</w:t>
      </w:r>
    </w:p>
    <w:p>
      <w:r>
        <w:rPr>
          <w:color w:val="555555"/>
          <w:sz w:val="17"/>
        </w:rPr>
        <w:t xml:space="preserve">Zitiervorschlag: § 1 MindZV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https://recht.nulegal.eu/gesetze/MindZV%202016/1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