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Inhaltsübersicht MinStG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Teil 1Allgemeine VorschriftenAbschnitt 1Anwendungsbereich</w:t>
      </w:r>
    </w:p>
    <w:p>
      <w:r>
        <w:rPr>
          <w:rFonts w:ascii="Courier New" w:hAnsi="Courier New"/>
          <w:sz w:val="17"/>
        </w:rPr>
        <w:t xml:space="preserve">§ 1    Steuerpflicht</w:t>
      </w:r>
    </w:p>
    <w:p>
      <w:r>
        <w:rPr>
          <w:rFonts w:ascii="Courier New" w:hAnsi="Courier New"/>
          <w:sz w:val="17"/>
        </w:rPr>
        <w:t xml:space="preserve">§ 2    Umfang der Besteuerung</w:t>
      </w:r>
    </w:p>
    <w:p>
      <w:r>
        <w:rPr>
          <w:rFonts w:ascii="Courier New" w:hAnsi="Courier New"/>
          <w:sz w:val="17"/>
        </w:rPr>
        <w:t xml:space="preserve">§ 3    Mindeststeuergruppe</w:t>
      </w:r>
    </w:p>
    <w:p>
      <w:r>
        <w:rPr>
          <w:rFonts w:ascii="Courier New" w:hAnsi="Courier New"/>
          <w:sz w:val="17"/>
        </w:rPr>
        <w:t xml:space="preserve">§ 4    Umfang der Unternehmensgruppe und ihre Bestandteile</w:t>
      </w:r>
    </w:p>
    <w:p>
      <w:r>
        <w:rPr>
          <w:rFonts w:ascii="Courier New" w:hAnsi="Courier New"/>
          <w:sz w:val="17"/>
        </w:rPr>
        <w:t xml:space="preserve">§ 5    Ausgeschlossene Einheiten</w:t>
      </w:r>
    </w:p>
    <w:p>
      <w:r>
        <w:rPr>
          <w:rFonts w:ascii="Courier New" w:hAnsi="Courier New"/>
          <w:sz w:val="17"/>
        </w:rPr>
        <w:t xml:space="preserve">§ 6    Belegenheit von Einheiten und Betriebsstätten</w:t>
      </w:r>
    </w:p>
    <w:p>
      <w:r>
        <w:t xml:space="preserve">Abschnitt 2Begriffsbestimmungen</w:t>
      </w:r>
    </w:p>
    <w:p>
      <w:r>
        <w:rPr>
          <w:rFonts w:ascii="Courier New" w:hAnsi="Courier New"/>
          <w:sz w:val="17"/>
        </w:rPr>
        <w:t xml:space="preserve">§ 7    Begriffsbestimmungen</w:t>
      </w:r>
    </w:p>
    <w:p>
      <w:r>
        <w:t xml:space="preserve">Teil 2ErgänzungssteuerAbschnitt 1Primärergänzungssteuer</w:t>
      </w:r>
    </w:p>
    <w:p>
      <w:r>
        <w:rPr>
          <w:rFonts w:ascii="Courier New" w:hAnsi="Courier New"/>
          <w:sz w:val="17"/>
        </w:rPr>
        <w:t xml:space="preserve">§ 8    Umfang der Besteuerung der Muttergesellschaft</w:t>
      </w:r>
    </w:p>
    <w:p>
      <w:r>
        <w:rPr>
          <w:rFonts w:ascii="Courier New" w:hAnsi="Courier New"/>
          <w:sz w:val="17"/>
        </w:rPr>
        <w:t xml:space="preserve">§ 9    Anteil der Muttergesellschaft am Steuererhöhungsbetrag</w:t>
      </w:r>
    </w:p>
    <w:p>
      <w:r>
        <w:rPr>
          <w:rFonts w:ascii="Courier New" w:hAnsi="Courier New"/>
          <w:sz w:val="17"/>
        </w:rPr>
        <w:t xml:space="preserve">§ 10    Minderung des Primärergänzungssteuerbetrags</w:t>
      </w:r>
    </w:p>
    <w:p>
      <w:r>
        <w:t xml:space="preserve">Abschnitt 2Sekundärergänzungssteuer</w:t>
      </w:r>
    </w:p>
    <w:p>
      <w:r>
        <w:rPr>
          <w:rFonts w:ascii="Courier New" w:hAnsi="Courier New"/>
          <w:sz w:val="17"/>
        </w:rPr>
        <w:t xml:space="preserve">§ 11    Umfang der Besteuerung der Geschäftseinheit</w:t>
      </w:r>
    </w:p>
    <w:p>
      <w:r>
        <w:rPr>
          <w:rFonts w:ascii="Courier New" w:hAnsi="Courier New"/>
          <w:sz w:val="17"/>
        </w:rPr>
        <w:t xml:space="preserve">§ 12    Anteil der Bundesrepublik Deutschland am Gesamtbetrag der Steuererhöhungsbeträge</w:t>
      </w:r>
    </w:p>
    <w:p>
      <w:r>
        <w:rPr>
          <w:rFonts w:ascii="Courier New" w:hAnsi="Courier New"/>
          <w:sz w:val="17"/>
        </w:rPr>
        <w:t xml:space="preserve">§ 13    Besonderheiten bei transparenten Einheiten</w:t>
      </w:r>
    </w:p>
    <w:p>
      <w:r>
        <w:rPr>
          <w:rFonts w:ascii="Courier New" w:hAnsi="Courier New"/>
          <w:sz w:val="17"/>
        </w:rPr>
        <w:t xml:space="preserve">§ 14    Besonderheiten bei Steuerhoheitsgebieten mit anerkannter Sekundärergänzungssteuerregelung</w:t>
      </w:r>
    </w:p>
    <w:p>
      <w:r>
        <w:t xml:space="preserve">Teil 3Ermittlung des Mindeststeuer-Gewinns oder Mindeststeuer-VerlustsAbschnitt 1Grundlagen der Mindeststeuer-Gewinnermittlung</w:t>
      </w:r>
    </w:p>
    <w:p>
      <w:r>
        <w:rPr>
          <w:rFonts w:ascii="Courier New" w:hAnsi="Courier New"/>
          <w:sz w:val="17"/>
        </w:rPr>
        <w:t xml:space="preserve">§ 15    Mindeststeuer-Gewinn oder Mindeststeuer-Verlust</w:t>
      </w:r>
    </w:p>
    <w:p>
      <w:r>
        <w:rPr>
          <w:rFonts w:ascii="Courier New" w:hAnsi="Courier New"/>
          <w:sz w:val="17"/>
        </w:rPr>
        <w:t xml:space="preserve">§ 16    Betragsmäßige und fremdvergleichskonforme Anpassungen</w:t>
      </w:r>
    </w:p>
    <w:p>
      <w:r>
        <w:rPr>
          <w:rFonts w:ascii="Courier New" w:hAnsi="Courier New"/>
          <w:sz w:val="17"/>
        </w:rPr>
        <w:t xml:space="preserve">§ 17    Korrespondierende Einstufung von Finanzinstrumenten</w:t>
      </w:r>
    </w:p>
    <w:p>
      <w:r>
        <w:t xml:space="preserve">Abschnitt 2Ermittlungsgrundsätze und AnpassungenUnterabschnitt 1Allgemeine Bestimmungen</w:t>
      </w:r>
    </w:p>
    <w:p>
      <w:r>
        <w:rPr>
          <w:rFonts w:ascii="Courier New" w:hAnsi="Courier New"/>
          <w:sz w:val="17"/>
        </w:rPr>
        <w:t xml:space="preserve">§ 18    Hinzurechnungen und Kürzungen</w:t>
      </w:r>
    </w:p>
    <w:p>
      <w:r>
        <w:rPr>
          <w:rFonts w:ascii="Courier New" w:hAnsi="Courier New"/>
          <w:sz w:val="17"/>
        </w:rPr>
        <w:t xml:space="preserve">§ 19    Gesamtsteueraufwand</w:t>
      </w:r>
    </w:p>
    <w:p>
      <w:r>
        <w:rPr>
          <w:rFonts w:ascii="Courier New" w:hAnsi="Courier New"/>
          <w:sz w:val="17"/>
        </w:rPr>
        <w:t xml:space="preserve">§ 20    Dividendenkürzungsbetrag</w:t>
      </w:r>
    </w:p>
    <w:p>
      <w:r>
        <w:rPr>
          <w:rFonts w:ascii="Courier New" w:hAnsi="Courier New"/>
          <w:sz w:val="17"/>
        </w:rPr>
        <w:t xml:space="preserve">§ 21    Gewinne oder Verluste aus Eigenkapitalbeteiligungen</w:t>
      </w:r>
    </w:p>
    <w:p>
      <w:r>
        <w:rPr>
          <w:rFonts w:ascii="Courier New" w:hAnsi="Courier New"/>
          <w:sz w:val="17"/>
        </w:rPr>
        <w:t xml:space="preserve">§ 22    Gewinne oder Verluste aus der Anwendung der Neubewertungsmethode auf Sachanlagen</w:t>
      </w:r>
    </w:p>
    <w:p>
      <w:r>
        <w:rPr>
          <w:rFonts w:ascii="Courier New" w:hAnsi="Courier New"/>
          <w:sz w:val="17"/>
        </w:rPr>
        <w:t xml:space="preserve">§ 23    Asymmetrische Fremdwährungsgewinne oder Fremdwährungsverluste</w:t>
      </w:r>
    </w:p>
    <w:p>
      <w:r>
        <w:rPr>
          <w:rFonts w:ascii="Courier New" w:hAnsi="Courier New"/>
          <w:sz w:val="17"/>
        </w:rPr>
        <w:t xml:space="preserve">§ 24    Bilanzierungs- und Bewertungsfehler eines vorangegangenen Geschäftsjahres; Änderungen der Bilanzierungsvorschriften und Bewertungsmethoden</w:t>
      </w:r>
    </w:p>
    <w:p>
      <w:r>
        <w:rPr>
          <w:rFonts w:ascii="Courier New" w:hAnsi="Courier New"/>
          <w:sz w:val="17"/>
        </w:rPr>
        <w:t xml:space="preserve">§ 25    Korrekturposten Pensionsaufwand</w:t>
      </w:r>
    </w:p>
    <w:p>
      <w:r>
        <w:rPr>
          <w:rFonts w:ascii="Courier New" w:hAnsi="Courier New"/>
          <w:sz w:val="17"/>
        </w:rPr>
        <w:t xml:space="preserve">§ 26    Gruppeninterne Finanzierungsvereinbarungen</w:t>
      </w:r>
    </w:p>
    <w:p>
      <w:r>
        <w:rPr>
          <w:rFonts w:ascii="Courier New" w:hAnsi="Courier New"/>
          <w:sz w:val="17"/>
        </w:rPr>
        <w:t xml:space="preserve">§ 27    Steuerliche Zulagen</w:t>
      </w:r>
    </w:p>
    <w:p>
      <w:r>
        <w:rPr>
          <w:rFonts w:ascii="Courier New" w:hAnsi="Courier New"/>
          <w:sz w:val="17"/>
        </w:rPr>
        <w:t xml:space="preserve">§ 28    Marktfähige und übertragbare steuerliche Zulagen</w:t>
      </w:r>
    </w:p>
    <w:p>
      <w:r>
        <w:rPr>
          <w:rFonts w:ascii="Courier New" w:hAnsi="Courier New"/>
          <w:sz w:val="17"/>
        </w:rPr>
        <w:t xml:space="preserve">§ 29    Behandlung steuerlicher Vorteile bei Beteiligungen an bestimmten steuertransparenten Einheiten</w:t>
      </w:r>
    </w:p>
    <w:p>
      <w:r>
        <w:t xml:space="preserve">Unterabschnitt 2Sektorspezifische Gewinnermittlung</w:t>
      </w:r>
    </w:p>
    <w:p>
      <w:r>
        <w:rPr>
          <w:rFonts w:ascii="Courier New" w:hAnsi="Courier New"/>
          <w:sz w:val="17"/>
        </w:rPr>
        <w:t xml:space="preserve">§ 30    Ausnahme für Gewinne oder Verluste aus dem internationalen Seeverkehr</w:t>
      </w:r>
    </w:p>
    <w:p>
      <w:r>
        <w:rPr>
          <w:rFonts w:ascii="Courier New" w:hAnsi="Courier New"/>
          <w:sz w:val="17"/>
        </w:rPr>
        <w:t xml:space="preserve">§ 31    Behandlung von Vergütungen auf besondere Instrumente bei Kreditinstituten und Versicherern</w:t>
      </w:r>
    </w:p>
    <w:p>
      <w:r>
        <w:rPr>
          <w:rFonts w:ascii="Courier New" w:hAnsi="Courier New"/>
          <w:sz w:val="17"/>
        </w:rPr>
        <w:t xml:space="preserve">§ 32    Behandlung bestimmter Versicherungserträge</w:t>
      </w:r>
    </w:p>
    <w:p>
      <w:r>
        <w:rPr>
          <w:rFonts w:ascii="Courier New" w:hAnsi="Courier New"/>
          <w:sz w:val="17"/>
        </w:rPr>
        <w:t xml:space="preserve">§ 33    Ausschluss von Aufwendungen bei fondsgebundenen Versicherungen</w:t>
      </w:r>
    </w:p>
    <w:p>
      <w:r>
        <w:t xml:space="preserve">Abschnitt 3Wahlrechte bei der Gewinnermittlung</w:t>
      </w:r>
    </w:p>
    <w:p>
      <w:r>
        <w:rPr>
          <w:rFonts w:ascii="Courier New" w:hAnsi="Courier New"/>
          <w:sz w:val="17"/>
        </w:rPr>
        <w:t xml:space="preserve">§ 34    Aktienbasierte Vergütungen</w:t>
      </w:r>
    </w:p>
    <w:p>
      <w:r>
        <w:rPr>
          <w:rFonts w:ascii="Courier New" w:hAnsi="Courier New"/>
          <w:sz w:val="17"/>
        </w:rPr>
        <w:t xml:space="preserve">§ 35    Anwendung der Realisationsmethode</w:t>
      </w:r>
    </w:p>
    <w:p>
      <w:r>
        <w:rPr>
          <w:rFonts w:ascii="Courier New" w:hAnsi="Courier New"/>
          <w:sz w:val="17"/>
        </w:rPr>
        <w:t xml:space="preserve">§ 36    Gewinne aus der Veräußerung von unbeweglichem Vermögen</w:t>
      </w:r>
    </w:p>
    <w:p>
      <w:r>
        <w:rPr>
          <w:rFonts w:ascii="Courier New" w:hAnsi="Courier New"/>
          <w:sz w:val="17"/>
        </w:rPr>
        <w:t xml:space="preserve">§ 37    Konsolidierung</w:t>
      </w:r>
    </w:p>
    <w:p>
      <w:r>
        <w:rPr>
          <w:rFonts w:ascii="Courier New" w:hAnsi="Courier New"/>
          <w:sz w:val="17"/>
        </w:rPr>
        <w:t xml:space="preserve">§ 38    Steuerpflicht von Portfoliodividenden</w:t>
      </w:r>
    </w:p>
    <w:p>
      <w:r>
        <w:rPr>
          <w:rFonts w:ascii="Courier New" w:hAnsi="Courier New"/>
          <w:sz w:val="17"/>
        </w:rPr>
        <w:t xml:space="preserve">§ 39    Steuerpflicht von Gewinnen oder Verlusten bei Eigenkapitalbeteiligungen</w:t>
      </w:r>
    </w:p>
    <w:p>
      <w:r>
        <w:rPr>
          <w:rFonts w:ascii="Courier New" w:hAnsi="Courier New"/>
          <w:sz w:val="17"/>
        </w:rPr>
        <w:t xml:space="preserve">§ 40    Symmetrische Behandlung qualifizierter Währungsgewinne oder qualifizierter Währungsverluste bei Nettoinvestitionen in einen Geschäftsbetrieb</w:t>
      </w:r>
    </w:p>
    <w:p>
      <w:r>
        <w:rPr>
          <w:rFonts w:ascii="Courier New" w:hAnsi="Courier New"/>
          <w:sz w:val="17"/>
        </w:rPr>
        <w:t xml:space="preserve">§ 41    Qualifizierte Sanierungserträge</w:t>
      </w:r>
    </w:p>
    <w:p>
      <w:r>
        <w:t xml:space="preserve">Abschnitt 4Aufteilung von Gewinnen und Verlusten bei Betriebsstätten und transparenten Einheiten</w:t>
      </w:r>
    </w:p>
    <w:p>
      <w:r>
        <w:rPr>
          <w:rFonts w:ascii="Courier New" w:hAnsi="Courier New"/>
          <w:sz w:val="17"/>
        </w:rPr>
        <w:t xml:space="preserve">§ 42    Zuordnung von Gewinnen und Verlusten zwischen Betriebsstätte und Stammhaus</w:t>
      </w:r>
    </w:p>
    <w:p>
      <w:r>
        <w:rPr>
          <w:rFonts w:ascii="Courier New" w:hAnsi="Courier New"/>
          <w:sz w:val="17"/>
        </w:rPr>
        <w:t xml:space="preserve">§ 43    Zuordnung von Gewinnen und Verlusten bei transparenten Einheiten</w:t>
      </w:r>
    </w:p>
    <w:p>
      <w:r>
        <w:t xml:space="preserve">Teil 4Ermittlung der angepassten erfassten SteuernAbschnitt 1Allgemeine Vorschriften</w:t>
      </w:r>
    </w:p>
    <w:p>
      <w:r>
        <w:rPr>
          <w:rFonts w:ascii="Courier New" w:hAnsi="Courier New"/>
          <w:sz w:val="17"/>
        </w:rPr>
        <w:t xml:space="preserve">§ 44    Betrag der angepassten erfassten Steuern einer Geschäftseinheit</w:t>
      </w:r>
    </w:p>
    <w:p>
      <w:r>
        <w:rPr>
          <w:rFonts w:ascii="Courier New" w:hAnsi="Courier New"/>
          <w:sz w:val="17"/>
        </w:rPr>
        <w:t xml:space="preserve">§ 45    Erfasste Steuern</w:t>
      </w:r>
    </w:p>
    <w:p>
      <w:r>
        <w:rPr>
          <w:rFonts w:ascii="Courier New" w:hAnsi="Courier New"/>
          <w:sz w:val="17"/>
        </w:rPr>
        <w:t xml:space="preserve">§ 46    Zusätzlicher Steuererhöhungsbetrag bei Mindeststeuer-Gesamtverlust</w:t>
      </w:r>
    </w:p>
    <w:p>
      <w:r>
        <w:t xml:space="preserve">Abschnitt 2Anpassungen der erfassten Steuern</w:t>
      </w:r>
    </w:p>
    <w:p>
      <w:r>
        <w:rPr>
          <w:rFonts w:ascii="Courier New" w:hAnsi="Courier New"/>
          <w:sz w:val="17"/>
        </w:rPr>
        <w:t xml:space="preserve">§ 47    Hinzurechnungen</w:t>
      </w:r>
    </w:p>
    <w:p>
      <w:r>
        <w:rPr>
          <w:rFonts w:ascii="Courier New" w:hAnsi="Courier New"/>
          <w:sz w:val="17"/>
        </w:rPr>
        <w:t xml:space="preserve">§ 48    Kürzungen</w:t>
      </w:r>
    </w:p>
    <w:p>
      <w:r>
        <w:rPr>
          <w:rFonts w:ascii="Courier New" w:hAnsi="Courier New"/>
          <w:sz w:val="17"/>
        </w:rPr>
        <w:t xml:space="preserve">§ 49    Zurechnung erfasster Steuern zu anderen Geschäftseinheiten</w:t>
      </w:r>
    </w:p>
    <w:p>
      <w:r>
        <w:rPr>
          <w:rFonts w:ascii="Courier New" w:hAnsi="Courier New"/>
          <w:sz w:val="17"/>
        </w:rPr>
        <w:t xml:space="preserve">§ 50    Gesamtbetrag der angepassten latenten Steuern</w:t>
      </w:r>
    </w:p>
    <w:p>
      <w:r>
        <w:rPr>
          <w:rFonts w:ascii="Courier New" w:hAnsi="Courier New"/>
          <w:sz w:val="17"/>
        </w:rPr>
        <w:t xml:space="preserve">§ 50a    Nachversteuerung latenter Steuerschulden</w:t>
      </w:r>
    </w:p>
    <w:p>
      <w:r>
        <w:rPr>
          <w:rFonts w:ascii="Courier New" w:hAnsi="Courier New"/>
          <w:sz w:val="17"/>
        </w:rPr>
        <w:t xml:space="preserve">§ 51    Mindeststeuer-Verlustwahlrecht</w:t>
      </w:r>
    </w:p>
    <w:p>
      <w:r>
        <w:rPr>
          <w:rFonts w:ascii="Courier New" w:hAnsi="Courier New"/>
          <w:sz w:val="17"/>
        </w:rPr>
        <w:t xml:space="preserve">§ 52    Nachträgliche Anpassungen und Änderungen der erfassten Steuern</w:t>
      </w:r>
    </w:p>
    <w:p>
      <w:r>
        <w:t xml:space="preserve">Teil 5Ermittlung des effektiven Steuersatzes und des SteuererhöhungsbetragsAbschnitt 1Ermittlung des effektiven Steuersatzes und des SteuererhöhungsbetragsUnterabschnitt 1Grundsätze und Besonderheiten</w:t>
      </w:r>
    </w:p>
    <w:p>
      <w:r>
        <w:rPr>
          <w:rFonts w:ascii="Courier New" w:hAnsi="Courier New"/>
          <w:sz w:val="17"/>
        </w:rPr>
        <w:t xml:space="preserve">§ 53    Effektiver Steuersatz der Unternehmensgruppe für ein Steuerhoheitsgebiet</w:t>
      </w:r>
    </w:p>
    <w:p>
      <w:r>
        <w:rPr>
          <w:rFonts w:ascii="Courier New" w:hAnsi="Courier New"/>
          <w:sz w:val="17"/>
        </w:rPr>
        <w:t xml:space="preserve">§ 54    Mindeststeuersatz und Ermittlung des Steuererhöhungsbetrags</w:t>
      </w:r>
    </w:p>
    <w:p>
      <w:r>
        <w:rPr>
          <w:rFonts w:ascii="Courier New" w:hAnsi="Courier New"/>
          <w:sz w:val="17"/>
        </w:rPr>
        <w:t xml:space="preserve">§ 55    Behandlung von in Minderheitseigentum stehenden Geschäftseinheiten</w:t>
      </w:r>
    </w:p>
    <w:p>
      <w:r>
        <w:rPr>
          <w:rFonts w:ascii="Courier New" w:hAnsi="Courier New"/>
          <w:sz w:val="17"/>
        </w:rPr>
        <w:t xml:space="preserve">§ 56    Wesentlichkeitsgrenze</w:t>
      </w:r>
    </w:p>
    <w:p>
      <w:r>
        <w:t xml:space="preserve">Unterabschnitt 2Zusätzlicher laufender Steuererhöhungsbetrag</w:t>
      </w:r>
    </w:p>
    <w:p>
      <w:r>
        <w:rPr>
          <w:rFonts w:ascii="Courier New" w:hAnsi="Courier New"/>
          <w:sz w:val="17"/>
        </w:rPr>
        <w:t xml:space="preserve">§ 57    Zusätzlicher Steuererhöhungsbetrag</w:t>
      </w:r>
    </w:p>
    <w:p>
      <w:r>
        <w:t xml:space="preserve">Abschnitt 2Substanzbasierter Freibetrag</w:t>
      </w:r>
    </w:p>
    <w:p>
      <w:r>
        <w:rPr>
          <w:rFonts w:ascii="Courier New" w:hAnsi="Courier New"/>
          <w:sz w:val="17"/>
        </w:rPr>
        <w:t xml:space="preserve">§ 58    Ermittlung des substanzbasierten Freibetrags</w:t>
      </w:r>
    </w:p>
    <w:p>
      <w:r>
        <w:rPr>
          <w:rFonts w:ascii="Courier New" w:hAnsi="Courier New"/>
          <w:sz w:val="17"/>
        </w:rPr>
        <w:t xml:space="preserve">§ 59    Berücksichtigungsfähige Beschäftigte und berücksichtigungsfähige Lohnkosten</w:t>
      </w:r>
    </w:p>
    <w:p>
      <w:r>
        <w:rPr>
          <w:rFonts w:ascii="Courier New" w:hAnsi="Courier New"/>
          <w:sz w:val="17"/>
        </w:rPr>
        <w:t xml:space="preserve">§ 60    Berücksichtigungsfähige materielle Vermögenswerte</w:t>
      </w:r>
    </w:p>
    <w:p>
      <w:r>
        <w:rPr>
          <w:rFonts w:ascii="Courier New" w:hAnsi="Courier New"/>
          <w:sz w:val="17"/>
        </w:rPr>
        <w:t xml:space="preserve">§ 61    Anwendung des substanzbasierten Freibetrags in Sonderfällen</w:t>
      </w:r>
    </w:p>
    <w:p>
      <w:r>
        <w:rPr>
          <w:rFonts w:ascii="Courier New" w:hAnsi="Courier New"/>
          <w:sz w:val="17"/>
        </w:rPr>
        <w:t xml:space="preserve">§ 62    Ermittlung des substanzbasierten Freibetrags in einem Übergangszeitraum</w:t>
      </w:r>
    </w:p>
    <w:p>
      <w:r>
        <w:t xml:space="preserve">Teil 6Unternehmensumstrukturierungen und BeteiligungsstrukturenAbschnitt 1Ermittlung der Umsatzgrenze in Sonderfällen</w:t>
      </w:r>
    </w:p>
    <w:p>
      <w:r>
        <w:rPr>
          <w:rFonts w:ascii="Courier New" w:hAnsi="Courier New"/>
          <w:sz w:val="17"/>
        </w:rPr>
        <w:t xml:space="preserve">§ 63    Anwendung der Umsatzgrenze bei Zusammenschluss oder Teilung</w:t>
      </w:r>
    </w:p>
    <w:p>
      <w:r>
        <w:t xml:space="preserve">Abschnitt 2Veränderungen der Unternehmensgruppe</w:t>
      </w:r>
    </w:p>
    <w:p>
      <w:r>
        <w:rPr>
          <w:rFonts w:ascii="Courier New" w:hAnsi="Courier New"/>
          <w:sz w:val="17"/>
        </w:rPr>
        <w:t xml:space="preserve">§ 64    Austritt und Beitritt von Geschäftseinheiten</w:t>
      </w:r>
    </w:p>
    <w:p>
      <w:r>
        <w:rPr>
          <w:rFonts w:ascii="Courier New" w:hAnsi="Courier New"/>
          <w:sz w:val="17"/>
        </w:rPr>
        <w:t xml:space="preserve">§ 65    Erwerb und Veräußerung von Anteilen, die als Übertragung oder Erwerb von Vermögenswerten und Schulden gelten</w:t>
      </w:r>
    </w:p>
    <w:p>
      <w:r>
        <w:rPr>
          <w:rFonts w:ascii="Courier New" w:hAnsi="Courier New"/>
          <w:sz w:val="17"/>
        </w:rPr>
        <w:t xml:space="preserve">§ 66    Übertragung von Vermögenswerten oder Schulden</w:t>
      </w:r>
    </w:p>
    <w:p>
      <w:r>
        <w:t xml:space="preserve">Abschnitt 3Besondere Beteiligungsstrukturen</w:t>
      </w:r>
    </w:p>
    <w:p>
      <w:r>
        <w:rPr>
          <w:rFonts w:ascii="Courier New" w:hAnsi="Courier New"/>
          <w:sz w:val="17"/>
        </w:rPr>
        <w:t xml:space="preserve">§ 67    Joint Venture</w:t>
      </w:r>
    </w:p>
    <w:p>
      <w:r>
        <w:rPr>
          <w:rFonts w:ascii="Courier New" w:hAnsi="Courier New"/>
          <w:sz w:val="17"/>
        </w:rPr>
        <w:t xml:space="preserve">§ 68    Unternehmensgruppen mit mehreren Muttergesellschaften</w:t>
      </w:r>
    </w:p>
    <w:p>
      <w:r>
        <w:t xml:space="preserve">Teil 7Besonderheiten bei obersten Muttergesellschaften, Ausschüttungssystemen und InvestmenteinheitenAbschnitt 1Besonderheiten bei obersten Muttergesellschaften</w:t>
      </w:r>
    </w:p>
    <w:p>
      <w:r>
        <w:rPr>
          <w:rFonts w:ascii="Courier New" w:hAnsi="Courier New"/>
          <w:sz w:val="17"/>
        </w:rPr>
        <w:t xml:space="preserve">§ 69    Transparente oberste Muttergesellschaft</w:t>
      </w:r>
    </w:p>
    <w:p>
      <w:r>
        <w:rPr>
          <w:rFonts w:ascii="Courier New" w:hAnsi="Courier New"/>
          <w:sz w:val="17"/>
        </w:rPr>
        <w:t xml:space="preserve">§ 70    Oberste Muttergesellschaft mit Dividendenabzugssystem</w:t>
      </w:r>
    </w:p>
    <w:p>
      <w:r>
        <w:t xml:space="preserve">Abschnitt 2Ausschüttungssysteme</w:t>
      </w:r>
    </w:p>
    <w:p>
      <w:r>
        <w:rPr>
          <w:rFonts w:ascii="Courier New" w:hAnsi="Courier New"/>
          <w:sz w:val="17"/>
        </w:rPr>
        <w:t xml:space="preserve">§ 71    Zulässige Ausschüttungssysteme</w:t>
      </w:r>
    </w:p>
    <w:p>
      <w:r>
        <w:t xml:space="preserve">Abschnitt 3Besonderheiten bei Investmenteinheiten</w:t>
      </w:r>
    </w:p>
    <w:p>
      <w:r>
        <w:rPr>
          <w:rFonts w:ascii="Courier New" w:hAnsi="Courier New"/>
          <w:sz w:val="17"/>
        </w:rPr>
        <w:t xml:space="preserve">§ 72    Berechnung des effektiven Steuersatzes für Investmenteinheiten</w:t>
      </w:r>
    </w:p>
    <w:p>
      <w:r>
        <w:rPr>
          <w:rFonts w:ascii="Courier New" w:hAnsi="Courier New"/>
          <w:sz w:val="17"/>
        </w:rPr>
        <w:t xml:space="preserve">§ 73    Steuertransparenzwahlrecht für Investmenteinheiten</w:t>
      </w:r>
    </w:p>
    <w:p>
      <w:r>
        <w:rPr>
          <w:rFonts w:ascii="Courier New" w:hAnsi="Courier New"/>
          <w:sz w:val="17"/>
        </w:rPr>
        <w:t xml:space="preserve">§ 74    Wahlrecht für steuerpflichtige Ausschüttungen von Investmenteinheiten</w:t>
      </w:r>
    </w:p>
    <w:p>
      <w:r>
        <w:t xml:space="preserve">Teil 8AdministrationAbschnitt 1Mindeststeuer-Bericht</w:t>
      </w:r>
    </w:p>
    <w:p>
      <w:r>
        <w:rPr>
          <w:rFonts w:ascii="Courier New" w:hAnsi="Courier New"/>
          <w:sz w:val="17"/>
        </w:rPr>
        <w:t xml:space="preserve">§ 75    Abgabeverpflichtung</w:t>
      </w:r>
    </w:p>
    <w:p>
      <w:r>
        <w:rPr>
          <w:rFonts w:ascii="Courier New" w:hAnsi="Courier New"/>
          <w:sz w:val="17"/>
        </w:rPr>
        <w:t xml:space="preserve">§ 75a    Berichtigung des Mindeststeuer-Berichts</w:t>
      </w:r>
    </w:p>
    <w:p>
      <w:r>
        <w:rPr>
          <w:rFonts w:ascii="Courier New" w:hAnsi="Courier New"/>
          <w:sz w:val="17"/>
        </w:rPr>
        <w:t xml:space="preserve">§ 76    Inhalt des Mindeststeuer-Berichts</w:t>
      </w:r>
    </w:p>
    <w:p>
      <w:r>
        <w:t xml:space="preserve">Abschnitt 2Wahlrechte</w:t>
      </w:r>
    </w:p>
    <w:p>
      <w:r>
        <w:rPr>
          <w:rFonts w:ascii="Courier New" w:hAnsi="Courier New"/>
          <w:sz w:val="17"/>
        </w:rPr>
        <w:t xml:space="preserve">§ 77    Wahlrechte</w:t>
      </w:r>
    </w:p>
    <w:p>
      <w:r>
        <w:t xml:space="preserve">Abschnitt 3Safe-Harbour-RegelungenUnterabschnitt 1Allgemeines</w:t>
      </w:r>
    </w:p>
    <w:p>
      <w:r>
        <w:rPr>
          <w:rFonts w:ascii="Courier New" w:hAnsi="Courier New"/>
          <w:sz w:val="17"/>
        </w:rPr>
        <w:t xml:space="preserve">§ 78    Überprüfung der Anspruchsberechtigung</w:t>
      </w:r>
    </w:p>
    <w:p>
      <w:r>
        <w:t xml:space="preserve">Unterabschnitt 2Safe Harbour für vereinfachte Berechnungen</w:t>
      </w:r>
    </w:p>
    <w:p>
      <w:r>
        <w:rPr>
          <w:rFonts w:ascii="Courier New" w:hAnsi="Courier New"/>
          <w:sz w:val="17"/>
        </w:rPr>
        <w:t xml:space="preserve">§ 79    Vereinfachte Berechnungen</w:t>
      </w:r>
    </w:p>
    <w:p>
      <w:r>
        <w:rPr>
          <w:rFonts w:ascii="Courier New" w:hAnsi="Courier New"/>
          <w:sz w:val="17"/>
        </w:rPr>
        <w:t xml:space="preserve">§ 80    Wahlrecht für vereinfachte Ausgangsgrößen bei unwesentlichen Geschäftseinheiten</w:t>
      </w:r>
    </w:p>
    <w:p>
      <w:r>
        <w:t xml:space="preserve">Unterabschnitt 3Safe-Harbour-Regelung bei anerkannter nationaler Ergänzungssteuer</w:t>
      </w:r>
    </w:p>
    <w:p>
      <w:r>
        <w:rPr>
          <w:rFonts w:ascii="Courier New" w:hAnsi="Courier New"/>
          <w:sz w:val="17"/>
        </w:rPr>
        <w:t xml:space="preserve">§ 81    Safe-Harbour bei anerkannter nationaler Ergänzungssteuer</w:t>
      </w:r>
    </w:p>
    <w:p>
      <w:r>
        <w:t xml:space="preserve">Teil 9ÜbergangsregelungenAbschnitt 1Erstmalige Steuerpflicht</w:t>
      </w:r>
    </w:p>
    <w:p>
      <w:r>
        <w:rPr>
          <w:rFonts w:ascii="Courier New" w:hAnsi="Courier New"/>
          <w:sz w:val="17"/>
        </w:rPr>
        <w:t xml:space="preserve">§ 82    Steuerattribute des Übergangsjahres</w:t>
      </w:r>
    </w:p>
    <w:p>
      <w:r>
        <w:rPr>
          <w:rFonts w:ascii="Courier New" w:hAnsi="Courier New"/>
          <w:sz w:val="17"/>
        </w:rPr>
        <w:t xml:space="preserve">§ 82a    Ausgeschlossene Steuerattribute</w:t>
      </w:r>
    </w:p>
    <w:p>
      <w:r>
        <w:rPr>
          <w:rFonts w:ascii="Courier New" w:hAnsi="Courier New"/>
          <w:sz w:val="17"/>
        </w:rPr>
        <w:t xml:space="preserve">§ 82b    Gruppeninterne Übertragung von Vermögenswerten</w:t>
      </w:r>
    </w:p>
    <w:p>
      <w:r>
        <w:rPr>
          <w:rFonts w:ascii="Courier New" w:hAnsi="Courier New"/>
          <w:sz w:val="17"/>
        </w:rPr>
        <w:t xml:space="preserve">§ 82c    Übergangsjahr</w:t>
      </w:r>
    </w:p>
    <w:p>
      <w:r>
        <w:t xml:space="preserve">Abschnitt 2Untergeordnete internationale Tätigkeit</w:t>
      </w:r>
    </w:p>
    <w:p>
      <w:r>
        <w:rPr>
          <w:rFonts w:ascii="Courier New" w:hAnsi="Courier New"/>
          <w:sz w:val="17"/>
        </w:rPr>
        <w:t xml:space="preserve">§ 83    Übergangsregelung bei untergeordneter internationaler Tätigkeit</w:t>
      </w:r>
    </w:p>
    <w:p>
      <w:r>
        <w:t xml:space="preserve">Abschnitt 3Zeitlich befristete Übergangsregelungen</w:t>
      </w:r>
    </w:p>
    <w:p>
      <w:r>
        <w:rPr>
          <w:rFonts w:ascii="Courier New" w:hAnsi="Courier New"/>
          <w:sz w:val="17"/>
        </w:rPr>
        <w:t xml:space="preserve">§ 84    Verwendung länderbezogener Berichte multinationaler Unternehmensgruppen (CbCR-Safe-Harbour)</w:t>
      </w:r>
    </w:p>
    <w:p>
      <w:r>
        <w:rPr>
          <w:rFonts w:ascii="Courier New" w:hAnsi="Courier New"/>
          <w:sz w:val="17"/>
        </w:rPr>
        <w:t xml:space="preserve">§ 85    Besonderheiten bei bestimmten Einheiten</w:t>
      </w:r>
    </w:p>
    <w:p>
      <w:r>
        <w:rPr>
          <w:rFonts w:ascii="Courier New" w:hAnsi="Courier New"/>
          <w:sz w:val="17"/>
        </w:rPr>
        <w:t xml:space="preserve">§ 86    Ausschluss von bestimmten Geschäftseinheiten, Unternehmensgruppen oder Steuerhoheitsgebieten</w:t>
      </w:r>
    </w:p>
    <w:p>
      <w:r>
        <w:rPr>
          <w:rFonts w:ascii="Courier New" w:hAnsi="Courier New"/>
          <w:sz w:val="17"/>
        </w:rPr>
        <w:t xml:space="preserve">§ 87    Definitionen für den CbCR-Safe-Harbour und weitere Bestimmungen</w:t>
      </w:r>
    </w:p>
    <w:p>
      <w:r>
        <w:rPr>
          <w:rFonts w:ascii="Courier New" w:hAnsi="Courier New"/>
          <w:sz w:val="17"/>
        </w:rPr>
        <w:t xml:space="preserve">§ 87a    Anwendung der Erwerbsmethode</w:t>
      </w:r>
    </w:p>
    <w:p>
      <w:r>
        <w:rPr>
          <w:rFonts w:ascii="Courier New" w:hAnsi="Courier New"/>
          <w:sz w:val="17"/>
        </w:rPr>
        <w:t xml:space="preserve">§ 87b    Anpassungen bei Inkongruenzen</w:t>
      </w:r>
    </w:p>
    <w:p>
      <w:r>
        <w:rPr>
          <w:rFonts w:ascii="Courier New" w:hAnsi="Courier New"/>
          <w:sz w:val="17"/>
        </w:rPr>
        <w:t xml:space="preserve">§ 88    Übergangsregelungen bei gemischter Hinzurechnungsbesteuerung</w:t>
      </w:r>
    </w:p>
    <w:p>
      <w:r>
        <w:rPr>
          <w:rFonts w:ascii="Courier New" w:hAnsi="Courier New"/>
          <w:sz w:val="17"/>
        </w:rPr>
        <w:t xml:space="preserve">§ 89    Sekundärergänzungssteuerbetrag-Safe-Harbour</w:t>
      </w:r>
    </w:p>
    <w:p>
      <w:r>
        <w:t xml:space="preserve">Teil 10Nationale ErgänzungssteuerAbschnitt 1Allgemeines</w:t>
      </w:r>
    </w:p>
    <w:p>
      <w:r>
        <w:rPr>
          <w:rFonts w:ascii="Courier New" w:hAnsi="Courier New"/>
          <w:sz w:val="17"/>
        </w:rPr>
        <w:t xml:space="preserve">§ 90    Umfang der Besteuerung der Geschäftseinheit</w:t>
      </w:r>
    </w:p>
    <w:p>
      <w:r>
        <w:t xml:space="preserve">Abschnitt 2Besonderheiten</w:t>
      </w:r>
    </w:p>
    <w:p>
      <w:r>
        <w:rPr>
          <w:rFonts w:ascii="Courier New" w:hAnsi="Courier New"/>
          <w:sz w:val="17"/>
        </w:rPr>
        <w:t xml:space="preserve">§ 91    Steuererhöhungsbeträge staatenloser Geschäftseinheiten</w:t>
      </w:r>
    </w:p>
    <w:p>
      <w:r>
        <w:rPr>
          <w:rFonts w:ascii="Courier New" w:hAnsi="Courier New"/>
          <w:sz w:val="17"/>
        </w:rPr>
        <w:t xml:space="preserve">§ 92    Grenzüberschreitende Zurechnung erfasster Steuern</w:t>
      </w:r>
    </w:p>
    <w:p>
      <w:r>
        <w:rPr>
          <w:rFonts w:ascii="Courier New" w:hAnsi="Courier New"/>
          <w:sz w:val="17"/>
        </w:rPr>
        <w:t xml:space="preserve">§ 93    Nichtberücksichtigung der nationalen Ergänzungssteuer</w:t>
      </w:r>
    </w:p>
    <w:p>
      <w:r>
        <w:rPr>
          <w:rFonts w:ascii="Courier New" w:hAnsi="Courier New"/>
          <w:sz w:val="17"/>
        </w:rPr>
        <w:t xml:space="preserve">§ 93a    Neubestimmung des Übergangsjahrs</w:t>
      </w:r>
    </w:p>
    <w:p>
      <w:r>
        <w:t xml:space="preserve">Teil 11Besteuerungsverfahren und sonstige BestimmungenAbschnitt 1Besteuerungsverfahren</w:t>
      </w:r>
    </w:p>
    <w:p>
      <w:r>
        <w:rPr>
          <w:rFonts w:ascii="Courier New" w:hAnsi="Courier New"/>
          <w:sz w:val="17"/>
        </w:rPr>
        <w:t xml:space="preserve">§ 94    Entstehung der Mindeststeuer und Besteuerungszeitraum</w:t>
      </w:r>
    </w:p>
    <w:p>
      <w:r>
        <w:rPr>
          <w:rFonts w:ascii="Courier New" w:hAnsi="Courier New"/>
          <w:sz w:val="17"/>
        </w:rPr>
        <w:t xml:space="preserve">§ 95    Steuererklärungspflicht, Steuerentrichtungspflicht</w:t>
      </w:r>
    </w:p>
    <w:p>
      <w:r>
        <w:rPr>
          <w:rFonts w:ascii="Courier New" w:hAnsi="Courier New"/>
          <w:sz w:val="17"/>
        </w:rPr>
        <w:t xml:space="preserve">§ 96    Zuständigkeit</w:t>
      </w:r>
    </w:p>
    <w:p>
      <w:r>
        <w:rPr>
          <w:rFonts w:ascii="Courier New" w:hAnsi="Courier New"/>
          <w:sz w:val="17"/>
        </w:rPr>
        <w:t xml:space="preserve">§ 97    Währungsumrechnungen</w:t>
      </w:r>
    </w:p>
    <w:p>
      <w:r>
        <w:t xml:space="preserve">Abschnitt 2Bußgeldvorschriften, Ermächtigungen und Anwendungsvorschriften</w:t>
      </w:r>
    </w:p>
    <w:p>
      <w:r>
        <w:rPr>
          <w:rFonts w:ascii="Courier New" w:hAnsi="Courier New"/>
          <w:sz w:val="17"/>
        </w:rPr>
        <w:t xml:space="preserve">§ 98    Bußgeldvorschriften</w:t>
      </w:r>
    </w:p>
    <w:p>
      <w:r>
        <w:rPr>
          <w:rFonts w:ascii="Courier New" w:hAnsi="Courier New"/>
          <w:sz w:val="17"/>
        </w:rPr>
        <w:t xml:space="preserve">§ 99    Ermächtigungen</w:t>
      </w:r>
    </w:p>
    <w:p>
      <w:r>
        <w:rPr>
          <w:rFonts w:ascii="Courier New" w:hAnsi="Courier New"/>
          <w:sz w:val="17"/>
        </w:rPr>
        <w:t xml:space="preserve">§ 100    Auswirkung auf die Abkommensberechtigung</w:t>
      </w:r>
    </w:p>
    <w:p>
      <w:r>
        <w:rPr>
          <w:rFonts w:ascii="Courier New" w:hAnsi="Courier New"/>
          <w:sz w:val="17"/>
        </w:rPr>
        <w:t xml:space="preserve">§ 101    Anwendungsvorschriften</w:t>
      </w:r>
    </w:p>
    <w:p>
      <w:r>
        <w:rPr>
          <w:color w:val="555555"/>
          <w:sz w:val="17"/>
        </w:rPr>
        <w:t xml:space="preserve">Zitiervorschlag: Inhaltsübersicht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https://recht.nulegal.eu/gesetze/MinStG/inhaltsuebersicht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