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MinStG — Währungsumrechnungen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(1) Wird der Konzernabschluss nicht in Euro aufgestellt, sind die auf Euro lautenden Beträge in § 1 Absatz 1, § 7 Absatz 10, § 15 Absatz 2 Nummer 3, § 18 Nummer 7, § 52 Absatz 4 und 6, § 56 Absatz 1, § 80 Absatz 3, § 83 Absatz 2 Nummer 2, § 84 Absatz 1 Nummer 1 und § 87 Absatz 6 zum Devisenkurs der Europäischen Zentralbank des letzten Monats des Kalenderjahres umzurechnen, das dem Beginn des Geschäftsjahres vorangeht.</w:t>
      </w:r>
    </w:p>
    <w:p>
      <w:r>
        <w:t xml:space="preserve">(2) Wird der Steuererhöhungsbetrag für den Besteuerungszeitraum nicht in Euro ermittelt, ist er zum Devisenkurs der Europäischen Zentralbank des letzten Monats des Geschäftsjahres, das im Besteuerungszeitraum endet, in Euro umzurechnen.</w:t>
      </w:r>
    </w:p>
    <w:p>
      <w:r>
        <w:rPr>
          <w:color w:val="555555"/>
          <w:sz w:val="17"/>
        </w:rPr>
        <w:t xml:space="preserve">Zitiervorschlag: § 97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