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MinStG — Steuererklärungspflicht, Steuerentrichtungspflicht</w:t>
      </w:r>
    </w:p>
    <w:p>
      <w:r>
        <w:rPr>
          <w:color w:val="555555"/>
          <w:sz w:val="18"/>
        </w:rPr>
        <w:t xml:space="preserve">Mindeststeuergesetz</w:t>
      </w:r>
    </w:p>
    <w:p>
      <w:r>
        <w:rPr>
          <w:color w:val="555555"/>
          <w:sz w:val="18"/>
        </w:rPr>
        <w:t xml:space="preserve">Stand: 03.01.2026 (konsolidierte Textfassung, kein amtliches Inkrafttretensdatum)</w:t>
      </w:r>
    </w:p>
    <w:p>
      <w:r>
        <w:t xml:space="preserve">(1) Der Gruppenträger hat für das Kalenderjahr eine Steuererklärung abzugeben und darin die Steuer selbst zu berechnen. Die Steuererklärung ist als Steueranmeldung nach amtlich vorgeschriebenem Datensatz elektronisch über die amtlich bestimmte Schnittstelle zu übermitteln. Die Steuer ist einen Monat nach Abgabe der Steuererklärung fällig und bis dahin zu entrichten. Wird die Mindeststeuer abweichend von der Steueranmeldung höher festgesetzt, ist der Unterschiedsbetrag einen Monat nach Bekanntgabe des Steuerbescheids fällig und bis dahin zu entrichten. Wird die Mindeststeuer aufgrund unterbliebener Abgabe einer Steueranmeldung festgesetzt, ist die Mindeststeuer einen Monat nach der Bekanntgabe des Steuerbescheids fällig und bis dahin zu entrichten. Alle Geschäftseinheiten sowie Joint Venture und Joint-Venture-Tochtergesellschaften sind dem Steuererklärungspflichtigen gegenüber zur Erteilung der Auskünfte verpflichtet, die dieser zur Erstellung der Steuererklärung benötigt.</w:t>
      </w:r>
    </w:p>
    <w:p>
      <w:r>
        <w:t xml:space="preserve">(2) Die Frist zur Abgabe der Steuererklärung endet nicht vor Ablauf der Frist nach § 75 Absatz 3. Enden mehrere Geschäftsjahre in einem Kalenderjahr, ist das letzte dieser Geschäftsjahre maßgebend.</w:t>
      </w:r>
    </w:p>
    <w:p>
      <w:r>
        <w:rPr>
          <w:color w:val="555555"/>
          <w:sz w:val="17"/>
        </w:rPr>
        <w:t xml:space="preserve">Zitiervorschlag: § 95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