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MinStG — Anteil der Muttergesellschaft am Steuererhöhungsbetrag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28.12.2023 (konsolidierte Textfassung, kein amtliches Inkrafttretensdatum)</w:t>
      </w:r>
    </w:p>
    <w:p>
      <w:r>
        <w:t xml:space="preserve">(1) Der einer Muttergesellschaft zuzurechnende Anteil am Steuererhöhungsbetrag einer niedrig besteuerten Geschäftseinheit entspricht dem nach Teil 5 dieses Gesetzes für diese Geschäftseinheit berechneten Steuererhöhungsbetrag multipliziert mit der Einbeziehungsquote der Muttergesellschaft für diese Geschäftseinheit für das betreffende Geschäftsjahr.</w:t>
      </w:r>
    </w:p>
    <w:p>
      <w:r>
        <w:t xml:space="preserve">(2) Die Einbeziehungsquote wird wie folgt ermittelt:</w:t>
      </w:r>
    </w:p>
    <w:p>
      <w:r>
        <w:t xml:space="preserve">[Abbildung] In den Fällen, in denen die Muttergesellschaft die Primärergänzungssteuerregelung gegen sich selbst anwendet, beträgt die Einbeziehungsquote 100 Prozent.</w:t>
      </w:r>
    </w:p>
    <w:p>
      <w:r>
        <w:t xml:space="preserve">(3) Der Minderungsbetrag ist der Betrag des Mindeststeuer-Gewinns, der nach den Grundsätzen des im Konzernabschluss der obersten Muttergesellschaft verwendeten anerkannten Rechnungslegungsstandards anderen Beteiligten zuzurechnen wäre, wenn der Mindeststeuer-Jahresüberschuss oder Mindeststeuer-Jahresfehlbetrag der niedrig besteuerten Geschäftseinheit ihrem Mindeststeuer-Gewinn entspräche und</w:t>
      </w:r>
    </w:p>
    <w:p>
      <w:pPr>
        <w:ind w:left="420"/>
      </w:pPr>
      <w:r>
        <w:t xml:space="preserve">1. die Muttergesellschaft einen Konzernabschluss nach diesem Rechnungslegungsstandard aufzustellen hätte (hypothetischer Konzernabschluss),</w:t>
      </w:r>
    </w:p>
    <w:p>
      <w:pPr>
        <w:ind w:left="420"/>
      </w:pPr>
      <w:r>
        <w:t xml:space="preserve">2. die Muttergesellschaft über eine Kontrollbeteiligung an der niedrig besteuerten Geschäftseinheit verfügen würde, sodass diese nach den allgemeinen Konsolidierungsgrundsätzen in den hypothetischen Konzernabschluss der Muttergesellschaft einbezogen würde,</w:t>
      </w:r>
    </w:p>
    <w:p>
      <w:pPr>
        <w:ind w:left="420"/>
      </w:pPr>
      <w:r>
        <w:t xml:space="preserve">3. der gesamte Mindeststeuer-Gewinn der niedrig besteuerten Geschäftseinheit durch Geschäftsvorfälle mit Personen veranlasst wäre, die nicht der Unternehmensgruppe angehören, und</w:t>
      </w:r>
    </w:p>
    <w:p>
      <w:pPr>
        <w:ind w:left="420"/>
      </w:pPr>
      <w:r>
        <w:t xml:space="preserve">4. alle nicht unmittelbar oder mittelbar von der Muttergesellschaft gehaltenen Eigenkapitalbeteiligungen an der niedrig besteuerten Geschäftseinheit von Personen gehalten werden, die nicht der Unternehmensgruppe angehören.</w:t>
      </w:r>
    </w:p>
    <w:p>
      <w:r>
        <w:t xml:space="preserve">Bei transparenten Einheiten umfasst der Mindeststeuer-Gewinn keine Erträge, die nach § 43 Absatz 1 einem Gesellschafter zuzurechnen sind, der nicht der Unternehmensgruppe angehört.</w:t>
      </w:r>
    </w:p>
    <w:p>
      <w:r>
        <w:rPr>
          <w:color w:val="555555"/>
          <w:sz w:val="17"/>
        </w:rPr>
        <w:t xml:space="preserve">Zitiervorschlag: § 9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