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89 MinStG — Sekundärergänzungssteuerbetrag-Safe-Harbour</w:t>
      </w:r>
    </w:p>
    <w:p>
      <w:r>
        <w:rPr>
          <w:color w:val="555555"/>
          <w:sz w:val="18"/>
        </w:rPr>
        <w:t xml:space="preserve">Mindeststeuergesetz</w:t>
      </w:r>
    </w:p>
    <w:p>
      <w:r>
        <w:rPr>
          <w:color w:val="555555"/>
          <w:sz w:val="18"/>
        </w:rPr>
        <w:t xml:space="preserve">Stand: 03.01.2026 (konsolidierte Textfassung, kein amtliches Inkrafttretensdatum)</w:t>
      </w:r>
    </w:p>
    <w:p>
      <w:r>
        <w:t xml:space="preserve">(1) Auf Antrag der berichtspflichtigen Geschäftseinheit wird für die Berechnung der Sekundärergänzungssteuer der Steuererhöhungsbetrag für Zwecke des § 54 für den Belegenheitsstaat der obersten Muttergesellschaft auf null reduziert, wenn der kombinierte nominelle Körperschaftsteuersatz in diesem Steuerhoheitsgebiet im jeweiligen Geschäftsjahr mindestens 20 Prozent beträgt. Satz 1 gilt für Geschäftsjahre, die nicht mehr als zwölf Monate umfassen und am oder vor dem 31. Dezember 2025 beginnen und vor dem 31. Dezember 2026 enden.</w:t>
      </w:r>
    </w:p>
    <w:p>
      <w:r>
        <w:t xml:space="preserve">(2) Wird der Antrag nach Absatz 1 gestellt, ist die Unternehmensgruppe für dieses Steuerhoheitsgebiet für alle den Geschäftsjahren im Sinne des Absatzes 1 Satz 2 folgenden Geschäftsjahre von der Anwendung des § 84 Absatz 1 ausgeschlossen.</w:t>
      </w:r>
    </w:p>
    <w:p>
      <w:r>
        <w:rPr>
          <w:color w:val="555555"/>
          <w:sz w:val="17"/>
        </w:rPr>
        <w:t xml:space="preserve">Zitiervorschlag: § 89 MinStG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https://recht.nulegal.eu/gesetze/MinStG/89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