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87b MinStG — Anpassungen bei Inkongruenzen</w:t>
      </w:r>
    </w:p>
    <w:p>
      <w:r>
        <w:rPr>
          <w:color w:val="555555"/>
          <w:sz w:val="18"/>
        </w:rPr>
        <w:t xml:space="preserve">Mindeststeuergesetz</w:t>
      </w:r>
    </w:p>
    <w:p>
      <w:r>
        <w:rPr>
          <w:color w:val="555555"/>
          <w:sz w:val="18"/>
        </w:rPr>
        <w:t xml:space="preserve">Stand: 03.01.2026 (konsolidierte Textfassung, kein amtliches Inkrafttretensdatum)</w:t>
      </w:r>
    </w:p>
    <w:p>
      <w:r>
        <w:t xml:space="preserve">(1) Aufwendungen und Verluste sowie Ertragsteueraufwendungen dürfen im Fall von Inkongruenzen weder beim Gewinn oder Verlust vor Steuern (§ 87 Absatz 5) noch bei den vereinfacht erfassten Steuern (§ 87 Absatz 4) berücksichtigt werden. Die qualifizierten Rechnungslegungsdaten sind dementsprechend anzupassen. Eine Inkongruenz liegt vor, wenn eine Vereinbarung zwischen Geschäftseinheiten einer Unternehmensgruppe zu Folgendem führt:</w:t>
      </w:r>
    </w:p>
    <w:p>
      <w:pPr>
        <w:ind w:left="420"/>
      </w:pPr>
      <w:r>
        <w:t xml:space="preserve">1. zum Abzug von Aufwendungen ohne eine entsprechende Erhöhung von Erträgen oder des Gewinns,</w:t>
      </w:r>
    </w:p>
    <w:p>
      <w:pPr>
        <w:ind w:left="420"/>
      </w:pPr>
      <w:r>
        <w:t xml:space="preserve">2. zum doppelten Abzug von Aufwendungen oder zur doppelten Verlustnutzung oder</w:t>
      </w:r>
    </w:p>
    <w:p>
      <w:pPr>
        <w:ind w:left="420"/>
      </w:pPr>
      <w:r>
        <w:t xml:space="preserve">3. zur doppelten Berücksichtigung von Steuern.</w:t>
      </w:r>
    </w:p>
    <w:p>
      <w:r>
        <w:t xml:space="preserve">(2) Eine Inkongruenz nach Absatz 1 Satz 3 Nummer 1 liegt vor, soweit die unmittelbare oder mittelbare Vergabe von Kapital im Jahresabschluss einer Geschäftseinheit zu Aufwendungen oder Verlusten führt und sich im Jahresabschluss einer anderen Geschäftseinheit die Erträge oder der Gewinn nicht entsprechend erhöhen und auch nicht zu erwarten ist, dass sich über die Laufzeit der Vereinbarung eine entsprechende Erhöhung der steuerpflichtigen Einkünfte ergibt. Nicht als Inkongruenz gilt, wenn sich die Aufwendungen oder der Verlust ausschließlich auf zusätzliches Kernkapital nach § 31 Satz 1 bezieht. Eine Erhöhung der steuerpflichtigen Einkünfte liegt nicht vor, soweit der Betrag, der die steuerlichen Einkünfte erhöht, durch steuerliche Attribute, insbesondere Verlustvorträge, ausgeglichen wird, die ohne die Vereinbarung nicht hätten genutzt werden können, oder die Vereinbarung in dem getesteten Steuerhoheitsgebiet, in dem sich die steuerpflichtigen Einkünfte erhöhen, zu steuerwirksamen Aufwendungen oder einem Verlust führt, ohne dass sich der Betrag auf den Gewinn oder Verlust vor Steuern (§ 87 Absatz 4) auswirkt.</w:t>
      </w:r>
    </w:p>
    <w:p>
      <w:r>
        <w:t xml:space="preserve">(3) Eine Inkongruenz nach Absatz 1 Satz 3 Nummer 2 liegt vor, soweit Aufwendungen oder ein Verlust im Jahresabschluss einer Geschäftseinheit</w:t>
      </w:r>
    </w:p>
    <w:p>
      <w:pPr>
        <w:ind w:left="420"/>
      </w:pPr>
      <w:r>
        <w:t xml:space="preserve">1. auch im Jahresabschluss einer anderen Geschäftseinheit als Aufwendungen oder Verluste ausgewiesen sind oder</w:t>
      </w:r>
    </w:p>
    <w:p>
      <w:pPr>
        <w:ind w:left="420"/>
      </w:pPr>
      <w:r>
        <w:t xml:space="preserve">2. im Jahresabschluss einer Geschäftseinheit zu Aufwendungen oder Verlusten bei der Ermittlung der steuerpflichtigen Einkünfte einer anderen Geschäftseinheit in einem anderen getesteten Steuerhoheitsgebiet führen.</w:t>
      </w:r>
    </w:p>
    <w:p>
      <w:r>
        <w:t xml:space="preserve">Aufwendungen oder Verluste im Jahresabschluss einer steuertransparenten Einheit nach § 7 Absatz 32 bleiben insoweit unberücksichtigt, als sie auch im Jahresabschluss eines gruppenzugehörigen Gesellschafters ausgewiesen sind. Eine Inkongruenz nach Satz 1 Nummer 1 liegt nicht vor, soweit die Aufwendungen im Jahresabschluss einer Geschäftseinheit mit Erträgen verrechnet werden und die Aufwendungen und die Erträge auch im Jahresabschluss einer anderen Geschäftseinheit enthalten sind. Eine Inkongruenz nach Satz 1 Nummer 2 liegt nicht vor, soweit die Aufwendungen oder Verluste im Jahresabschluss einer Geschäftseinheit mit Erträgen verrechnet werden und diese Erträge bei der Ermittlung der steuerpflichtigen Einkünfte der Geschäftseinheit in einem anderen getesteten Steuerhoheitsgebiet berücksichtigt werden, die die Aufwendungen steuerlich geltend macht. Eine Inkongruenz nach Satz 1 muss bei allen bis auf einer der Geschäftseinheiten korrigiert werden, wenn alle von der Inkongruenz betroffenen Geschäftseinheiten in demselben getesteten Steuerhoheitsgebiet belegen sind.</w:t>
      </w:r>
    </w:p>
    <w:p>
      <w:r>
        <w:t xml:space="preserve">(4) Eine Inkongruenz nach Absatz 1 Satz 3 Nummer 3 liegt vor, soweit mehr als eine Geschäftseinheit denselben Ertragsteueraufwand bei der Ermittlung des Gesamtsteueraufwands (§ 44) oder der vereinfacht erfassten Steuern (§ 87 Absatz 4) berücksichtigt, es sei denn, auch die der Steuer unterliegenden Einkünfte sind in den entsprechenden Abschlüssen der Geschäftseinheiten enthalten. Keine Inkongruenz nach Absatz 1 Satz 3 Nummer 3 stellt es dar, wenn diese nur deshalb entsteht, weil für die Ermittlung der vereinfacht erfassten Steuern (§ 87 Absatz 4) keine Anpassung des Ertragsteueraufwands erforderlich ist, der bei der Ermittlung des Gesamtsteueraufwands (§ 44) der ersten Geschäftseinheit einer anderen Geschäftseinheit zugerechnet würde.</w:t>
      </w:r>
    </w:p>
    <w:p>
      <w:r>
        <w:t xml:space="preserve">(5) Die vorstehenden Absätze gelten für Vereinbarungen, die nach dem 15. Dezember 2022 abgeschlossen, geändert oder übertragen wurden oder werden. Dies gilt auch, wenn sich nach dem 15. Dezember 2022 die Erfüllung der sich aus einer Vereinbarung ergebenden Rechte oder Pflichten einschließlich der Zahlungsmodalitäten oder die bilanzielle Behandlung in Bezug auf die Vereinbarung wesentlich geändert hat oder ändert. Geschäftseinheiten im Sinne der vorstehenden Absätze sind sowohl inländische als auch ausländische Geschäftseinheiten, Betriebsstätten, Joint Ventures und Joint-Venture-Tochtergesellschaften.</w:t>
      </w:r>
    </w:p>
    <w:p>
      <w:r>
        <w:rPr>
          <w:color w:val="555555"/>
          <w:sz w:val="17"/>
        </w:rPr>
        <w:t xml:space="preserve">Zitiervorschlag: § 87b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