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87a MinStG — Anwendung der Erwerbsmethode</w:t>
      </w:r>
    </w:p>
    <w:p>
      <w:r>
        <w:rPr>
          <w:color w:val="555555"/>
          <w:sz w:val="18"/>
        </w:rPr>
        <w:t xml:space="preserve">Mindeststeuergesetz</w:t>
      </w:r>
    </w:p>
    <w:p>
      <w:r>
        <w:rPr>
          <w:color w:val="555555"/>
          <w:sz w:val="18"/>
        </w:rPr>
        <w:t xml:space="preserve">Stand: 03.01.2026 (konsolidierte Textfassung, kein amtliches Inkrafttretensdatum)</w:t>
      </w:r>
    </w:p>
    <w:p>
      <w:r>
        <w:t xml:space="preserve">(1) Auswirkungen aus der Anpassung des Buchwerts von Vermögenswerten und Schulden, die aus der Anwendung der Erwerbsmethode bei einem Beteiligungserwerb im Rahmen eines Unternehmenszusammenschlusses resultieren, dürfen in den in § 87 Absatz 2 Satz 2 genannten Rechnungslegungsdaten nicht berücksichtigt werden. Satz 1 gilt nicht, wenn die Unternehmensgruppe für nach dem 31. Dezember 2022 beginnende Geschäftsjahre länderbezogene Berichte nur auf der Grundlage von solchen Berichtspaketen und Jahresabschlüssen erstellt und übermittelt hat, die die Auswirkungen der Erwerbsmethode beim Ansatz vorhergehender Erwerbe berücksichtigen. Abweichend von Satz 1 ist ein späterer Wechsel zur Einbeziehung der Auswirkungen aus der Anwendung der Erwerbsmethode zulässig, wenn die Geschäftseinheiten aufgrund einer späteren gesetzlichen oder aufsichtsrechtlichen Regelung zur Berücksichtigung der Erwerbsmethode im Berichtspaket oder Jahresabschluss verpflichtet sind.</w:t>
      </w:r>
    </w:p>
    <w:p>
      <w:r>
        <w:t xml:space="preserve">(2) Bei einer Berücksichtigung nach Absatz 1 Satz 2 oder 3 sind für den CbCR-Routinegewinn-Test Wertminderungen eines Geschäfts- oder Firmenwerts, welcher auf einem Beteiligungserwerb nach dem 30. November 2021 beruht, dem Gewinn oder Verlust vor Steuern nach § 87 Absatz 5 wieder hinzuzurechnen. Satz 1 gilt für den CbCR-Effektivsteuersatz-Test entsprechend, wenn die zugrunde liegenden Rechnungslegungsdaten nicht bereits eine Umkehrung der latenten Steuerschuld oder den Ansatz oder die Erhöhung eines latenten Steueranspruchs aus der Wertminderung eines Geschäfts- oder Firmenwerts enthalten.</w:t>
      </w:r>
    </w:p>
    <w:p>
      <w:r>
        <w:rPr>
          <w:color w:val="555555"/>
          <w:sz w:val="17"/>
        </w:rPr>
        <w:t xml:space="preserve">Zitiervorschlag: § 87a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https://recht.nulegal.eu/gesetze/MinStG/87a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