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MinStG — Definitionen für den CbCR-Safe-Harbour und weitere Bestimmungen</w:t>
      </w:r>
    </w:p>
    <w:p>
      <w:r>
        <w:rPr>
          <w:color w:val="555555"/>
          <w:sz w:val="18"/>
        </w:rPr>
        <w:t xml:space="preserve">Mindeststeuergesetz</w:t>
      </w:r>
    </w:p>
    <w:p>
      <w:r>
        <w:rPr>
          <w:color w:val="555555"/>
          <w:sz w:val="18"/>
        </w:rPr>
        <w:t xml:space="preserve">Stand: 03.01.2026 (konsolidierte Textfassung, kein amtliches Inkrafttretensdatum)</w:t>
      </w:r>
    </w:p>
    <w:p>
      <w:r>
        <w:t xml:space="preserve">(1) Soweit nichts anderes geregelt ist, gelten für die Anwendung der §§ 84 bis 86, 87a und 87b die in den nachstehenden Absätzen definierten Begriffsbestimmungen. Sofern die Anforderungen für den CbCR-Safe-Harbour für ein getestetes Steuerhoheitsgebiet nicht erfüllt sind oder nach diesem Gesetz erforderliche Anpassungen unterblieben sind, scheidet die Anwendung des § 84 für das jeweilige getestete Steuerhoheitsgebiet unabhängig davon, ob dies Einfluss auf die Erfüllung der in § 84 Absatz 1 Satz 1 Nummer 1 bis 3 genannten Tests hätte.</w:t>
      </w:r>
    </w:p>
    <w:p>
      <w:r>
        <w:t xml:space="preserve">(2) Ein länderbezogener Bericht (§ 138a der Abgabenordnung) ist qualifiziert, wenn er auf der Grundlage von qualifizierten Rechnungslegungsdaten und unter konsistenter Verwendung von Rechnungslegungsdaten erstellt wurde. Qualifizierte Rechnungslegungsdaten sind</w:t>
      </w:r>
    </w:p>
    <w:p>
      <w:pPr>
        <w:ind w:left="420"/>
      </w:pPr>
      <w:r>
        <w:t xml:space="preserve">1. die Berichtspakete; Berichtspakete sind die für Konsolidierungszwecke an konzerneinheitliche Ansatz- und Bewertungsregeln angeglichenen Rechnungslegungsdaten der Geschäftseinheiten, wenn sie den in § 138a der Abgabenordnung enthaltenen Anforderungen für die länderbezogene Berichterstattung entsprechen;</w:t>
      </w:r>
    </w:p>
    <w:p>
      <w:pPr>
        <w:ind w:left="420"/>
      </w:pPr>
      <w:r>
        <w:t xml:space="preserve">2. die Jahresabschlüsse der Geschäftseinheiten, sofern diese nach einem anerkannten Rechnungslegungsstandard (§ 7 Absatz 4) oder einem zugelassenen Rechnungslegungsstandard (§ 7 Absatz 37) aufgestellt wurden und die in diesen Abschlüssen enthaltenen Informationen auf der Grundlage dieses Rechnungslegungsstandards fortgeführt werden und verlässlich sind;</w:t>
      </w:r>
    </w:p>
    <w:p>
      <w:pPr>
        <w:ind w:left="420"/>
      </w:pPr>
      <w:r>
        <w:t xml:space="preserve">3. im Fall einer Geschäftseinheit, die allein aus Gründen der Größe oder Wesentlichkeit nicht in den Konzernabschluss der Unternehmensgruppe einbezogen wird (§ 4 Absatz 1 Satz 1 Nummer 2), für die keine qualifizierten Rechnungslegungsdaten im Sinne der Nummer 2 erstellt wurden, die Unterlagen, die auch für die Erstellung des länderbezogenen Berichts der Unternehmensgruppe zugelassen und verwendet worden sind;</w:t>
      </w:r>
    </w:p>
    <w:p>
      <w:pPr>
        <w:ind w:left="420"/>
      </w:pPr>
      <w:r>
        <w:t xml:space="preserve">4. im Fall einer Betriebsstätte, für die keine qualifizierten Rechnungslegungsdaten im Sinne der Nummern 1 bis 3 erstellt wurden, die Unterlagen, die auch für die Erstellung eines länderbezogenen Berichts zugelassen und verwendet worden sind.</w:t>
      </w:r>
    </w:p>
    <w:p>
      <w:r>
        <w:t xml:space="preserve">Die konsistente Verwendung von Rechnungslegungsdaten erfordert, dass</w:t>
      </w:r>
    </w:p>
    <w:p>
      <w:pPr>
        <w:ind w:left="420"/>
      </w:pPr>
      <w:r>
        <w:t xml:space="preserve">1. für die in Satz 2 Nummer 3 und 4 genannten Geschäftseinheiten dürfen davon abweichend die anderen nach Satz 2 Nummer 2 bis 4 zugelassenen Rechnungslegungsdaten verwendet werden;</w:t>
      </w:r>
    </w:p>
    <w:p>
      <w:pPr>
        <w:ind w:left="420"/>
      </w:pPr>
      <w:r>
        <w:t xml:space="preserve">2. von der Betriebsstätte ausgewiesene Steuern oder ein von der Betriebsstätte ausgewiesener Verlust nicht auch beim Stammhaus berücksichtigt werden; die qualifizierten Rechnungslegungsdaten sind dementsprechend anzupassen;</w:t>
      </w:r>
    </w:p>
    <w:p>
      <w:pPr>
        <w:ind w:left="420"/>
      </w:pPr>
      <w:r>
        <w:t xml:space="preserve">3. die dem länderbezogenen Bericht zugrunde gelegten Rechnungslegungsdaten für Zwecke des CbCR-Safe-Harbours unverändert übernommen werden, es sei denn, dieses Gesetz erfordert eine Anpassung.</w:t>
      </w:r>
    </w:p>
    <w:p>
      <w:r>
        <w:t xml:space="preserve">(3) Die Umsatzerlöse entsprechen der Summe aus den Umsatzerlösen und sonstigen Erträgen, wie sie im qualifizierten länderbezogenen Bericht ausgewiesen sind.</w:t>
      </w:r>
    </w:p>
    <w:p>
      <w:r>
        <w:t xml:space="preserve">(4) Die vereinfacht erfassten Steuern entsprechen dem in den qualifizierten Rechnungslegungsinformationen der Unternehmensgruppe ausgewiesenen Ertragsteueraufwand nach Bereinigung aller nicht erfassten Steuern, ausgenommen der nach § 45 Absatz 2 Nummer 2, und ungewissen Steuerpositionen. Als nicht erfasste Steuern gelten auch aktive latente Steuern sowie der aus deren Umkehrung resultierende latente Steueraufwand, der</w:t>
      </w:r>
    </w:p>
    <w:p>
      <w:pPr>
        <w:ind w:left="420"/>
      </w:pPr>
      <w:r>
        <w:t xml:space="preserve">1. im Zusammenhang mit einer staatlichen Maßnahme nach § 82a Absatz 3 steht, die nach dem 30. November 2021 beschlossen oder erweitert worden ist,</w:t>
      </w:r>
    </w:p>
    <w:p>
      <w:pPr>
        <w:ind w:left="420"/>
      </w:pPr>
      <w:r>
        <w:t xml:space="preserve">2. im Zusammenhang mit einem Wahlrecht einer Geschäftseinheit steht, das rückwirkend die steuerliche Behandlung eines Vorgangs für ein Besteuerungszeitraum ändert, für den bereits eine Steuerfestsetzung erfolgt oder eine Steuererklärung eingereicht worden ist, sofern das Wahlrecht nach dem 30. November 2021 ausgeübt oder geändert worden ist, oder</w:t>
      </w:r>
    </w:p>
    <w:p>
      <w:pPr>
        <w:ind w:left="420"/>
      </w:pPr>
      <w:r>
        <w:t xml:space="preserve">3. auf Unterschieden zwischen der steuerlichen und handelsrechtlichen Bewertung beruhen, wenn diese Unterschiede auf einem nach dem 30. November 2021 verabschiedeten Körperschaftsteuerregime nach § 82a Absatz 2 Satz 2 beruhen.</w:t>
      </w:r>
    </w:p>
    <w:p>
      <w:r>
        <w:t xml:space="preserve">Dies gilt nicht, soweit diese latenten Steuern gemäß § 82a Absatz 2 zu berücksichtigen wären, wäre das Geschäftsjahr das Übergangsjahr, und soweit sie den Verschonungsbetrag im Sinne des § 82a Absatz 5 nicht übersteigen.</w:t>
      </w:r>
    </w:p>
    <w:p>
      <w:r>
        <w:t xml:space="preserve">(5) Der Gewinn oder Verlust vor Steuern ist das Jahresergebnis vor Steuern, wie es im qualifizierten länderbezogenen Bericht ausgewiesen ist, erhöht um einen nicht realisierten Nettoverlust aus einer Bewertung zum beizulegenden Zeitwert nach Absatz 6 sowie um inkongruente Dividenden nach Absatz 7.</w:t>
      </w:r>
    </w:p>
    <w:p>
      <w:r>
        <w:t xml:space="preserve">(6) Ein nicht realisierter Nettoverlust aus einer Bewertung zum beizulegenden Zeitwert ist die Summe aller Verluste, verringert um etwaige Gewinne, die auf einer Änderung des beizulegenden Zeitwerts von Eigenkapitalbeteiligungen nach § 20 Absatz 1 Nummer 1 beruhen. Dies gilt nur, wenn der Verlust 50 Millionen Euro für das getestete Steuerhoheitsgebiet übersteigt.</w:t>
      </w:r>
    </w:p>
    <w:p>
      <w:r>
        <w:t xml:space="preserve">(7) Inkongruente Dividenden sind Erträge, die bei der Leistungsempfängerin für Zwecke des länderbezogenen Berichts vom Gewinn oder Verlust vor Steuern als Dividende ausgenommen wurden, jedoch nach den dem länderbezogenen Bericht zugrunde liegenden Rechnungslegungsdaten der leistenden Geschäftseinheit nicht als Dividende einzustufen sind.</w:t>
      </w:r>
    </w:p>
    <w:p>
      <w:r>
        <w:t xml:space="preserve">(8) Der vereinfacht berechnete effektive Steuersatz für ein getestetes Steuerhoheitsgebiet wird wie folgt berechnet:</w:t>
      </w:r>
    </w:p>
    <w:p>
      <w:r>
        <w:rPr>
          <w:rFonts w:ascii="Courier New" w:hAnsi="Courier New"/>
          <w:sz w:val="17"/>
        </w:rPr>
        <w:t xml:space="preserve">    [Abbildung]</w:t>
      </w:r>
    </w:p>
    <w:p>
      <w:r>
        <w:t xml:space="preserve">(9) Der Übergangssteuersatz beträgt für die Geschäftsjahre, die in den Jahren 2023 und 2024 beginnen, 15 Prozent, für die im Jahr 2025 beginnen 16 Prozent und für die im Jahr 2026 beginnen 17 Prozent.</w:t>
      </w:r>
    </w:p>
    <w:p>
      <w:r>
        <w:t xml:space="preserve">(10) Qualifizierte Gesellschafter einer obersten Muttergesellschaft, die eine transparente Einheit sind, sind die in § 69 Absatz 1 Satz 1 Nummer 1 bis 3 genannten Gesellschafter. Bei einer obersten Muttergesellschaft, die einem Dividendenabzugsregime unterliegt, sind qualifizierte Gesellschaft die in § 70 Absatz 1 Satz 1 Nummer 1 genannten Gesellschafter.</w:t>
      </w:r>
    </w:p>
    <w:p>
      <w:r>
        <w:rPr>
          <w:color w:val="555555"/>
          <w:sz w:val="17"/>
        </w:rPr>
        <w:t xml:space="preserve">Zitiervorschlag: § 87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