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MinStG — Ausschluss von bestimmten Geschäftseinheiten, Unternehmensgruppen oder Steuerhoheitsgebieten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Die folgenden Geschäftseinheiten, Unternehmensgruppen oder Steuerhoheitsgebiete sind von der Anwendung des CbCR-Safe-Harbour ausgeschlossen:</w:t>
      </w:r>
    </w:p>
    <w:p>
      <w:pPr>
        <w:ind w:left="420"/>
      </w:pPr>
      <w:r>
        <w:t xml:space="preserve">1. staatenlose Geschäftseinheiten,</w:t>
      </w:r>
    </w:p>
    <w:p>
      <w:pPr>
        <w:ind w:left="420"/>
      </w:pPr>
      <w:r>
        <w:t xml:space="preserve">2. Mehrmütter-Unternehmensgruppen, für die kein gemeinsamer qualifizierter länderbezogener Bericht abgegeben wird,</w:t>
      </w:r>
    </w:p>
    <w:p>
      <w:pPr>
        <w:ind w:left="420"/>
      </w:pPr>
      <w:r>
        <w:t xml:space="preserve">3. Steuerhoheitsgebiete, in denen Geschäftseinheiten belegen sind, die einem zulässigen Ausschüttungssystem unterliegen und für die ein Antrag nach § 71 gestellt wurde.</w:t>
      </w:r>
    </w:p>
    <w:p>
      <w:r>
        <w:t xml:space="preserve">Abweichend von § 6 Absatz 2 Satz 1 gilt für die Anwendung von Satz 1 Nummer 1 eine transparente Einheit auch dann als staatenlose Geschäftseinheit, wenn sie keine oberste Muttergesellschaft ist.</w:t>
      </w:r>
    </w:p>
    <w:p>
      <w:r>
        <w:rPr>
          <w:color w:val="555555"/>
          <w:sz w:val="17"/>
        </w:rPr>
        <w:t xml:space="preserve">Zitiervorschlag: § 86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https://recht.nulegal.eu/gesetze/MinStG/86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