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MinStG — Übergangsregelung bei untergeordneter internationaler Tätigkeit</w:t>
      </w:r>
    </w:p>
    <w:p>
      <w:r>
        <w:rPr>
          <w:color w:val="555555"/>
          <w:sz w:val="18"/>
        </w:rPr>
        <w:t xml:space="preserve">Mindeststeuergesetz</w:t>
      </w:r>
    </w:p>
    <w:p>
      <w:r>
        <w:rPr>
          <w:color w:val="555555"/>
          <w:sz w:val="18"/>
        </w:rPr>
        <w:t xml:space="preserve">Stand: 28.12.2023 (konsolidierte Textfassung, kein amtliches Inkrafttretensdatum)</w:t>
      </w:r>
    </w:p>
    <w:p>
      <w:r>
        <w:t xml:space="preserve">(1) Unternehmensgruppen werden in den ersten fünf Jahren bei untergeordneter internationaler Tätigkeit von der Mindeststeuer (§ 2) befreit. Satz 1 gilt nicht für einen Primärergänzungssteuerbetrag, soweit dieser auf einem von einer ausländischen niedrig besteuerten Geschäftseinheit zuzurechnenden Steuererhöhungsbetrag beruht.</w:t>
      </w:r>
    </w:p>
    <w:p>
      <w:r>
        <w:t xml:space="preserve">(2) Eine untergeordnete internationale Tätigkeit einer Unternehmensgruppe liegt für ein Geschäftsjahr vor, wenn</w:t>
      </w:r>
    </w:p>
    <w:p>
      <w:pPr>
        <w:ind w:left="420"/>
      </w:pPr>
      <w:r>
        <w:t xml:space="preserve">1. sie über Geschäftseinheiten in höchstens sechs Steuerhoheitsgebieten verfügt und</w:t>
      </w:r>
    </w:p>
    <w:p>
      <w:pPr>
        <w:ind w:left="420"/>
      </w:pPr>
      <w:r>
        <w:t xml:space="preserve">2. der Gesamtwert der materiellen Vermögenswerte aller Geschäftseinheiten, die in allen Steuerhoheitsgebieten außerhalb des Referenzsteuerhoheitsgebiets belegen sind, 50 Millionen Euro nicht übersteigt.</w:t>
      </w:r>
    </w:p>
    <w:p>
      <w:r>
        <w:t xml:space="preserve">(3) Das Referenzsteuerhoheitsgebiet einer Unternehmensgruppe ist das Steuerhoheitsgebiet, in dem die Unternehmensgruppe für das Geschäftsjahr, in dem sie erstmals in den Anwendungsbereich dieses Gesetzes fällt, den höchsten Gesamtwert an materiellen Vermögenswerten ausweist. Der Gesamtwert der materiellen Vermögenswerte in einem Steuerhoheitsgebiet ist die Summe des Nettobuchwerts aller materiellen Vermögenswerte aller in diesem Steuerhoheitsgebiet belegenen Geschäftseinheiten der Unternehmensgruppe.</w:t>
      </w:r>
    </w:p>
    <w:p>
      <w:r>
        <w:t xml:space="preserve">(4) Der in Absatz 1 genannte Zeitraum von fünf Jahren beginnt für die Primärergänzungssteuerregelung (§§ 8 bis 10) am 31. Dezember 2023, für die Sekundärergänzungssteuerregelung (§§ 11 bis 14) am 31. Dezember 2024. In den Fällen, in denen die Unternehmensgruppe erst nach den vorgenannten Zeitpunkten in den Anwendungsbereich dieses Gesetzes oder einer ausländischen Vorschrift, die den Vorschriften der Richtlinie (EU) 2022/2523 entspricht, fällt, beginnt der Zeitraum von fünf Jahren mit diesem Zeitpunkt.</w:t>
      </w:r>
    </w:p>
    <w:p>
      <w:r>
        <w:rPr>
          <w:color w:val="555555"/>
          <w:sz w:val="17"/>
        </w:rPr>
        <w:t xml:space="preserve">Zitiervorschlag: § 83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