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82b MinStG — Gruppeninterne Übertragung von Vermögenswerten</w:t>
      </w:r>
    </w:p>
    <w:p>
      <w:r>
        <w:rPr>
          <w:color w:val="555555"/>
          <w:sz w:val="18"/>
        </w:rPr>
        <w:t xml:space="preserve">Mindeststeuergesetz</w:t>
      </w:r>
    </w:p>
    <w:p>
      <w:r>
        <w:rPr>
          <w:color w:val="555555"/>
          <w:sz w:val="18"/>
        </w:rPr>
        <w:t xml:space="preserve">Stand: 03.01.2026 (konsolidierte Textfassung, kein amtliches Inkrafttretensdatum)</w:t>
      </w:r>
    </w:p>
    <w:p>
      <w:r>
        <w:t xml:space="preserve">(1) Bei Übertragungen von Vermögenswerten, ausgenommen Vorräte, zwischen Geschäftseinheiten derselben Unternehmensgruppe, die nach dem 30. November 2021 und vor Beginn eines Übergangsjahres stattgefunden haben, sind die übernommenen Vermögenswerte mit den Buchwerten anzusetzen, den die übertragende Geschäftseinheit im Zeitpunkt der Übertragung angesetzt hatte. Die aktiven und passiven latenten Steuern sind auf dieser Grundlage zu ermitteln, dabei sind die aktiven und passiven latenten Steuern, die aus der Übertragung resultieren, außer Acht zu lassen.</w:t>
      </w:r>
    </w:p>
    <w:p>
      <w:r>
        <w:t xml:space="preserve">(2) Auf Antrag der berichtspflichtigen Geschäftseinheit kann die übernehmende Geschäftseinheit einen latenten Steueranspruch ermitteln und berücksichtigen, der den erfassten Steuern entspricht, die die übertragende Geschäftseinheit auf den Übertragungsgewinn gezahlt hat. Der latente Steueranspruch darf die positive Differenz zwischen dem steuerlichen Buchwert des Vermögenswerts bei der übernehmenden Geschäftseinheit und dem Buchwert im Sinne des Absatzes 1 multipliziert mit dem Mindeststeuersatz (Kappungsbetrag) nicht übersteigen. Für die Ermittlung der auf den Übertragungsgewinn gezahlten erfassten Steuern nach Satz 1 ist § 49 entsprechend anzuwenden. Als gezahlte erfasste Steuern gelten auch aktive latente Steuern der übertragenden Geschäftseinheit, die nach den §§ 82 und 82a hätten berücksichtigt werden können, wäre der Übertragungsgewinn bei der übertragenden Geschäftseinheit nicht in die steuerliche Bemessungsgrundlage einbezogen worden. Der nach den Sätzen 1 bis 4 ermittelte Steueranspruch wirkt sich im Jahr der Bildung nicht auf die angepassten erfassten Steuern der übernehmenden Geschäftseinheit aus und ist entsprechend der Wertentwicklung der Buchwerte fortzuschreiben.</w:t>
      </w:r>
    </w:p>
    <w:p>
      <w:r>
        <w:t xml:space="preserve">(3) Die Absätze 1 und 2 sind auf Antrag der berichtspflichtigen Geschäftseinheit nicht anzuwenden, wenn die übernehmende Geschäftseinheit für die jeweiligen Vermögenswerte einen latenten Steueranspruch in Höhe des Kappungsbetrags nach Absatz 2 berücksichtigen könnte.</w:t>
      </w:r>
    </w:p>
    <w:p>
      <w:r>
        <w:t xml:space="preserve">(4) Als Übertragung von Vermögenswerten zwischen Geschäftseinheiten derselben Unternehmensgruppe gelten auch Geschäftsvorfälle, die für Zwecke der Rechnungslegung oder Besteuerung mit einer Übertragung von Vermögenswerten vergleichbar sind. Dies ist unter anderem der Fall, wenn aufgrund des Geschäftsvorfalls für einen Vermögenswert ein Buchwert anzusetzen oder zu erhöhen ist; insbesondere bei Finanzierungsleasing. Dabei ist allein der Ansatz oder die Erhöhung des Buchwerts für steuerliche Zwecke ausreichend. Unbeachtlich ist, ob ein Geschäftsvorfall zwischen verschiedenen Geschäftseinheiten oder nur innerhalb derselben Geschäftseinheit erfolgt. Ein Geschäftsvorfall innerhalb derselben Geschäftseinheit liegt insbesondere bei der Verlegung des Sitzes einer Geschäftseinheit oder der Umstellung auf Bilanzierung zum Zeitwert vor.</w:t>
      </w:r>
    </w:p>
    <w:p>
      <w:r>
        <w:rPr>
          <w:color w:val="555555"/>
          <w:sz w:val="17"/>
        </w:rPr>
        <w:t xml:space="preserve">Zitiervorschlag: § 82b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https://recht.nulegal.eu/gesetze/MinStG/82b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