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MinStG — Safe-Harbour bei anerkannter nationaler Ergänzungssteuer</w:t>
      </w:r>
    </w:p>
    <w:p>
      <w:r>
        <w:rPr>
          <w:color w:val="555555"/>
          <w:sz w:val="18"/>
        </w:rPr>
        <w:t xml:space="preserve">Mindeststeuergesetz</w:t>
      </w:r>
    </w:p>
    <w:p>
      <w:r>
        <w:rPr>
          <w:color w:val="555555"/>
          <w:sz w:val="18"/>
        </w:rPr>
        <w:t xml:space="preserve">Stand: 03.01.2026 (konsolidierte Textfassung, kein amtliches Inkrafttretensdatum)</w:t>
      </w:r>
    </w:p>
    <w:p>
      <w:r>
        <w:t xml:space="preserve">(1) Auf Antrag der berichtspflichtigen Geschäftseinheit wird der Steuererhöhungsbetrag bezogen auf einen Teil der Unternehmensgruppe für Zwecke des § 54 auf null reduziert, wenn in dem Steuerhoheitsgebiet für das betreffende Geschäftsjahr eine anerkannte nationale Ergänzungssteuer (§ 7 Absatz 2) in Übereinstimmung mit dem Ergänzungssteuer-Rechnungslegungsstandard, dem Ergänzungssteuer-Konsistenzstandard und dem Ergänzungssteuer-Administrationsstandard erhoben wird. Der Antrag nach Satz 1 ist für jeden Teil der Unternehmensgruppe, für den eine separate Ermittlung des effektiven Steuersatzes vorzunehmen ist, gesondert zu stellen. Der Antrag nach Satz 1 ist nicht zulässig, wenn:</w:t>
      </w:r>
    </w:p>
    <w:p>
      <w:pPr>
        <w:ind w:left="420"/>
      </w:pPr>
      <w:r>
        <w:t xml:space="preserve">1. nach dem Recht des jeweiligen Steuerhoheitsgebiets gegründete transparente Einheiten für Zwecke der anerkannten nationalen Ergänzungssteuer keiner mit § 1 in Verbindung mit § 90 vergleichbaren Steuerpflicht unterliegen oder die anerkannte nationale Ergänzungssteuer von diesen Einheiten nicht unmittelbar erhoben wird; letztgenanntes gilt nicht, wenn in einem solchen Fall nach dem Recht des Steuerhoheitsgebiets eine mit § 3 Absatz 6 vergleichbare Ausgleichsverpflichtung besteht,</w:t>
      </w:r>
    </w:p>
    <w:p>
      <w:pPr>
        <w:ind w:left="420"/>
      </w:pPr>
      <w:r>
        <w:t xml:space="preserve">2. in dem jeweiligen Steuerhoheitsgebiet belegene Investmenteinheiten keiner mit § 1 in Verbindung mit § 90 vergleichbaren Steuerpflicht unterliegen,</w:t>
      </w:r>
    </w:p>
    <w:p>
      <w:pPr>
        <w:ind w:left="420"/>
      </w:pPr>
      <w:r>
        <w:t xml:space="preserve">3. für die Unternehmensgruppe in dem jeweiligen Steuerhoheitsgebiet eine mit § 83 vergleichbare Steuerbefreiung für die anerkannte nationale Ergänzungssteuer besteht,</w:t>
      </w:r>
    </w:p>
    <w:p>
      <w:pPr>
        <w:ind w:left="420"/>
      </w:pPr>
      <w:r>
        <w:t xml:space="preserve">4. die anerkannte nationale Ergänzungssteuer für Joint Ventures, Joint-Venture-Tochtergesellschaften oder Betriebsstätten eines Joint Venture oder einer Joint-Venture-Tochtergesellschaft nicht unmittelbar von diesen erhoben wird; dies gilt nicht, wenn in einem solchen Fall nach dem Recht des Steuerhoheitsgebiets eine mit § 3 Absatz 6 vergleichbare Ausgleichsverpflichtung besteht,</w:t>
      </w:r>
    </w:p>
    <w:p>
      <w:pPr>
        <w:ind w:left="420"/>
      </w:pPr>
      <w:r>
        <w:t xml:space="preserve">5. in dem jeweiligen Steuerhoheitsgebiet Verbriefungszweckeinheiten keiner mit § 1 in Verbindung mit § 90 vergleichbaren Steuerpflicht unterliegen,</w:t>
      </w:r>
    </w:p>
    <w:p>
      <w:pPr>
        <w:ind w:left="420"/>
      </w:pPr>
      <w:r>
        <w:t xml:space="preserve">6. in dem jeweiligen Steuerhoheitsgebiet aktive latente Steuern sowie der aus deren Umkehrung resultierende latente Steueraufwand, der</w:t>
      </w:r>
    </w:p>
    <w:p>
      <w:pPr>
        <w:ind w:left="780"/>
      </w:pPr>
      <w:r>
        <w:t xml:space="preserve">a) im Zusammenhang mit einer staatlichen Maßnahme im Sinne des § 82a Absatz 3 steht, die nach dem 30. November 2021 beschlossen oder erweitert worden ist,</w:t>
      </w:r>
    </w:p>
    <w:p>
      <w:pPr>
        <w:ind w:left="780"/>
      </w:pPr>
      <w:r>
        <w:t xml:space="preserve">b) im Zusammenhang mit einem Wahlrecht einer Geschäftseinheit steht, das rückwirkend die steuerliche Behandlung eines Vorgangs für einen Besteuerungszeitraum ändert, für den bereits eine Steuerfestsetzung erfolgt oder eine Steuererklärung eingereicht worden ist, sofern das Wahlrecht nach dem 30. November 2021 ausgeübt oder geändert worden ist, oder</w:t>
      </w:r>
    </w:p>
    <w:p>
      <w:pPr>
        <w:ind w:left="780"/>
      </w:pPr>
      <w:r>
        <w:t xml:space="preserve">c) auf Unterschieden zwischen der steuerlichen und handelsrechtlichen Bewertung beruht, wenn diese Unterschiede auf einem Körperschaftsteuerregime im Sinne des § 82a Absatz 2 Satz 2 beruhen, das nach dem 30. November 2021 verabschiedet worden ist,</w:t>
      </w:r>
    </w:p>
    <w:p>
      <w:pPr>
        <w:ind w:left="420"/>
      </w:pPr>
      <w:r>
        <w:t xml:space="preserve">bei der Berechnung des effektiven Steuersatzes oder der vereinfacht erfassten Steuern zu berücksichtigen ist, weil in dem jeweiligen Steuerhoheitsgebiet keine mit den §§ 82a und 87 Absatz 3 vergleichbare Regelung Anwendung findet,</w:t>
      </w:r>
    </w:p>
    <w:p>
      <w:pPr>
        <w:ind w:left="420"/>
      </w:pPr>
      <w:r>
        <w:t xml:space="preserve">7. in dem jeweiligen Steuerhoheitsgebiet eine Wahlmöglichkeit zu einer mit § 1 in Verbindung mit § 90 vergleichbaren Steuerpflicht besteht, die nicht unwiderruflich ausgeübt worden ist.</w:t>
      </w:r>
    </w:p>
    <w:p>
      <w:pPr>
        <w:ind w:left="420"/>
      </w:pPr>
      <w:r>
        <w:t xml:space="preserve">5. für die Unternehmensgruppe die anerkannte nationale Ergänzungssteuer ganz oder teilweise nicht nach § 54 Absatz 2 Satz 2 zu berücksichtigen wäre.</w:t>
      </w:r>
    </w:p>
    <w:p>
      <w:r>
        <w:t xml:space="preserve">Der Ausschluss von dem Safe-Harbour nach Satz 3 gilt im Fall der</w:t>
      </w:r>
    </w:p>
    <w:p>
      <w:pPr>
        <w:ind w:left="420"/>
      </w:pPr>
      <w:r>
        <w:t xml:space="preserve">1. Nummer 1 für das jeweilige Steuerhoheitsgebiet, wenn eine nach dem Recht des Steuerhoheitsgebiets gegründete transparente Einheit oberste Muttergesellschaft oder eine transparente Einheit ist, die einer Primärergänzungssteuerregelung unterliegt; andernfalls betrifft der Ausschluss nur die jeweiligen transparenten Einheiten,</w:t>
      </w:r>
    </w:p>
    <w:p>
      <w:pPr>
        <w:ind w:left="420"/>
      </w:pPr>
      <w:r>
        <w:t xml:space="preserve">2. Nummer 2 für die jeweiligen Investmenteinheiten,</w:t>
      </w:r>
    </w:p>
    <w:p>
      <w:pPr>
        <w:ind w:left="420"/>
      </w:pPr>
      <w:r>
        <w:t xml:space="preserve">3. Nummer 3 für das jeweilige Steuerhoheitsgebiet,</w:t>
      </w:r>
    </w:p>
    <w:p>
      <w:pPr>
        <w:ind w:left="420"/>
      </w:pPr>
      <w:r>
        <w:t xml:space="preserve">4. Nummer 4 für die jeweiligen Joint Ventures, Joint-Venture-Tochtergesellschaften oder Betriebsstätten eines Joint Venture oder einer Joint-Venture-Tochtergesellschaft und</w:t>
      </w:r>
    </w:p>
    <w:p>
      <w:pPr>
        <w:ind w:left="420"/>
      </w:pPr>
      <w:r>
        <w:t xml:space="preserve">5. Nummern 5 bis 7 für das jeweilige Steuerhoheitsgebiet.</w:t>
      </w:r>
    </w:p>
    <w:p>
      <w:r>
        <w:t xml:space="preserve">(2) Eine anerkannte nationale Ergänzungssteuer wird in Übereinstimmung mit dem Ergänzungssteuer-Rechnungslegungsstandard erhoben, wenn die Ergänzungssteuer auf der Grundlage einer mit § 15 vergleichbaren ausländischen Regelung ermittelt wird. Abweichend von § 15 ist dabei die Verwendung eines lokalen Rechnungslegungsstandards nur zulässig, wenn die folgenden Voraussetzungen erfüllt sind:</w:t>
      </w:r>
    </w:p>
    <w:p>
      <w:pPr>
        <w:ind w:left="420"/>
      </w:pPr>
      <w:r>
        <w:t xml:space="preserve">1. Sämtliche in dem betreffenden Steuerhoheitsgebiet belegenen Geschäftseinheiten stellen auf der Grundlage desselben lokalen Rechnungslegungsstandards einen Jahresabschluss (Einzelabschluss) auf den Stichtag des Konzernabschlusses der obersten Muttergesellschaft auf; die Konsolidierung einer Geschäftseinheit in einen auf den Stichtag des Konzernabschlusses der obersten Muttergesellschaft nach dem lokalen Rechnungslegungsstandard aufgestellten Konzernabschluss steht der Aufstellung eines Einzelabschlusses gleich.</w:t>
      </w:r>
    </w:p>
    <w:p>
      <w:pPr>
        <w:ind w:left="420"/>
      </w:pPr>
      <w:r>
        <w:t xml:space="preserve">2. Die in Nummer 1 genannten Abschlüsse</w:t>
      </w:r>
    </w:p>
    <w:p>
      <w:pPr>
        <w:ind w:left="780"/>
      </w:pPr>
      <w:r>
        <w:t xml:space="preserve">a) sind nach dem lokalen Gesellschaftsrecht oder Steuerrecht verpflichtend aufzubewahren oder zu verwenden oder</w:t>
      </w:r>
    </w:p>
    <w:p>
      <w:pPr>
        <w:ind w:left="780"/>
      </w:pPr>
      <w:r>
        <w:t xml:space="preserve">b) unterliegen einer Abschlussprüfung durch einen Abschlussprüfer im Sinne des § 319 des Handelsgesetzbuchs oder einer vergleichbaren ausländischen Regelung.</w:t>
      </w:r>
    </w:p>
    <w:p>
      <w:pPr>
        <w:ind w:left="420"/>
      </w:pPr>
      <w:r>
        <w:t xml:space="preserve">3. Als lokaler Rechnungslegungsstandard darf nur ein anerkannter Rechnungslegungsstandard oder ein zugelassener Rechnungslegungsstandard, der zur Vermeidung erheblicher Vergleichbarkeitseinschränkungen angepasst wurde, verwendet werden. Die Verwendung des lokalen Rechnungslegungsstandards muss einheitlich und konsistent durch die ausländische Rechtsordnung für alle Unternehmensgruppen vorgegeben sein. Ein Wahlrecht zur Verwendung des lokalen Rechnungslegungsstandards ist nicht zulässig.</w:t>
      </w:r>
    </w:p>
    <w:p>
      <w:r>
        <w:t xml:space="preserve">(3) Eine anerkannte nationale Ergänzungssteuer wird in Übereinstimmung mit dem Ergänzungssteuer-Konsistenzstandard erhoben, wenn die nationale Ergänzungssteuer entsprechend dem dritten bis neunten Teil dieses Gesetzes sowie entsprechend den §§ 92 und 93 erhoben wird. Abweichend von Satz 1 ist der Ergänzungssteuer-Konsistenzstandard auch erfüllt, wenn die anerkannte nationale Ergänzungssteuer:</w:t>
      </w:r>
    </w:p>
    <w:p>
      <w:pPr>
        <w:ind w:left="420"/>
      </w:pPr>
      <w:r>
        <w:t xml:space="preserve">1. keinen oder einen niedrigeren Substanzfreibetrag als die §§ 58 und 62 vorsieht,</w:t>
      </w:r>
    </w:p>
    <w:p>
      <w:pPr>
        <w:ind w:left="420"/>
      </w:pPr>
      <w:r>
        <w:t xml:space="preserve">2. keine oder eine geringere Wesentlichkeitsgrenze als § 56 vorsieht oder</w:t>
      </w:r>
    </w:p>
    <w:p>
      <w:pPr>
        <w:ind w:left="420"/>
      </w:pPr>
      <w:r>
        <w:t xml:space="preserve">3. einen höheren Mindeststeuersatz als § 54 Absatz 1 vorsieht.</w:t>
      </w:r>
    </w:p>
    <w:p>
      <w:r>
        <w:t xml:space="preserve">(4) Eine anerkannte nationale Ergänzungssteuer wird in Übereinstimmung mit dem Ergänzungssteuer-Administrationsstandard erhoben, wenn die Besteuerung der jeweiligen anerkannten nationalen Ergänzungssteuer auf der Grundlage eines mit § 76 vergleichbaren Berichtsstandards erfolgt.</w:t>
      </w:r>
    </w:p>
    <w:p>
      <w:r>
        <w:rPr>
          <w:color w:val="555555"/>
          <w:sz w:val="17"/>
        </w:rPr>
        <w:t xml:space="preserve">Zitiervorschlag: § 81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