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MinStG — Vereinfachte Berechnungen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Auf Antrag der berichtspflichtigen Geschäftseinheit wird der Steuererhöhungsbetrag für Zwecke des § 54, ausgenommen soweit zusätzlicher Steuererhöhungsbetrag entsteht, auf der Grundlage zugelassener vereinfachter Berechnungen bei Erfüllung einer der folgenden Tests für eine Unternehmensgruppe auf null reduziert:</w:t>
      </w:r>
    </w:p>
    <w:p>
      <w:pPr>
        <w:ind w:left="420"/>
      </w:pPr>
      <w:r>
        <w:t xml:space="preserve">1. der für das jeweilige Steuerhoheitsgebiet nach den vereinfachten Berechnungen ermittelte Mindeststeuer-Gewinn ist gleich oder geringer als der substanzbasierte Freibetrag nach den §§ 58 bis 62 (Routinegewinn-Test);</w:t>
      </w:r>
    </w:p>
    <w:p>
      <w:pPr>
        <w:ind w:left="420"/>
      </w:pPr>
      <w:r>
        <w:t xml:space="preserve">2. im jeweiligen Steuerhoheitsgebiet betragen nach den vereinfachten Berechnungen der durchschnittliche Mindeststeuer-Gesamtumsatz weniger als 10 Millionen Euro und der durchschnittliche Mindeststeuer-Gesamtgewinn weniger als 1 Million Euro Gewinn oder es liegt ein Mindeststeuer-Gesamtverlust vor, berechnet jeweils nach den Grundsätzen des § 56 (Wesentlichkeitsgrenze-Test);</w:t>
      </w:r>
    </w:p>
    <w:p>
      <w:pPr>
        <w:ind w:left="420"/>
      </w:pPr>
      <w:r>
        <w:t xml:space="preserve">3. der für das jeweilige Steuerhoheitsgebiet nach den vereinfachten Berechnungen entsprechend § 53 Absatz 1 ermittelte effektive Steuersatz entspricht mindestens dem Mindeststeuersatz (Effektivsteuersatz-Test).</w:t>
      </w:r>
    </w:p>
    <w:p>
      <w:r>
        <w:t xml:space="preserve">(2) Zugelassene vereinfachte Berechnungen sind die in diesem Unterabschnitt enthaltenen alternativen Berechnungsgrundlagen betreffend den Mindeststeuer-Umsatz, den Mindeststeuer-Gewinn und der angepassten erfassten Steuern.</w:t>
      </w:r>
    </w:p>
    <w:p>
      <w:r>
        <w:rPr>
          <w:color w:val="555555"/>
          <w:sz w:val="17"/>
        </w:rPr>
        <w:t xml:space="preserve">Zitiervorschlag: § 79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