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MinStG — Überprüfung der Anspruchsberechtigung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Die Safe-Harbour-Regelungen, die nach den §§ 79 bis 81, 84 bis 87 und 89 für ein Steuerhoheitsgebiet (Safe-Harbour-Steuerhoheitsgebiet) in Anspruch genommen werden können, gelten nicht in den Fällen, in denen</w:t>
      </w:r>
    </w:p>
    <w:p>
      <w:pPr>
        <w:ind w:left="420"/>
      </w:pPr>
      <w:r>
        <w:t xml:space="preserve">1. eine Mindeststeuer nach § 2 entstehen könnte, wenn der für das Safe-Harbour-Steuerhoheitsgebiet berechnete effektive Steuersatz unter dem Mindeststeuersatz läge,</w:t>
      </w:r>
    </w:p>
    <w:p>
      <w:pPr>
        <w:ind w:left="420"/>
      </w:pPr>
      <w:r>
        <w:t xml:space="preserve">2. die steuerpflichtigen Geschäftseinheiten innerhalb von 36 Monaten nach Übermittlung des Mindeststeuer-Berichts durch die zuständige Finanzbehörde unter Angabe von besonderen Gründen zum Nachweis der Anspruchsberechtigung aufgefordert werden und</w:t>
      </w:r>
    </w:p>
    <w:p>
      <w:pPr>
        <w:ind w:left="420"/>
      </w:pPr>
      <w:r>
        <w:t xml:space="preserve">3. die steuerpflichtigen Geschäftseinheiten die Anspruchsberechtigung nicht innerhalb von sechs Monaten nach der Aufforderung nachweisen.</w:t>
      </w:r>
    </w:p>
    <w:p>
      <w:r>
        <w:t xml:space="preserve">(2) Werden der zuständigen Behörde die Gründe, welche die Anspruchsberechtigung der betreffenden Safe-Harbour-Regelung wesentlich beeinträchtigt haben können, erst nach Eingang des Mindeststeuer-Berichts bei der zuständigen Behörde bekannt, beginnt die Frist nach Absatz 1 Nummer 2 erst ab diesem Zeitpunkt zu laufen.</w:t>
      </w:r>
    </w:p>
    <w:p>
      <w:r>
        <w:rPr>
          <w:color w:val="555555"/>
          <w:sz w:val="17"/>
        </w:rPr>
        <w:t xml:space="preserve">Zitiervorschlag: § 78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