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MinStG — Wahlrechte</w:t>
      </w:r>
    </w:p>
    <w:p>
      <w:r>
        <w:rPr>
          <w:color w:val="555555"/>
          <w:sz w:val="18"/>
        </w:rPr>
        <w:t xml:space="preserve">Mindeststeuergesetz</w:t>
      </w:r>
    </w:p>
    <w:p>
      <w:r>
        <w:rPr>
          <w:color w:val="555555"/>
          <w:sz w:val="18"/>
        </w:rPr>
        <w:t xml:space="preserve">Stand: 03.01.2026 (konsolidierte Textfassung, kein amtliches Inkrafttretensdatum)</w:t>
      </w:r>
    </w:p>
    <w:p>
      <w:r>
        <w:t xml:space="preserve">(1) Die Ausübung der in § 36 Absatz 1, § 50 Absatz 5 Satz 3, § 52 Absatz 4, § 56 Absatz 1, § 58 Absatz 2 und § 71 Absatz 1 genannten Wahlrechte bindet jeweils für ein Geschäftsjahr. Die Bindung verlängert sich automatisch, sofern die berichtspflichtige Geschäftseinheit die Inanspruchnahme des Wahlrechts nicht mit Wirkung zum Ende des Geschäftsjahres widerruft. Satz 1 gilt entsprechend für das in § 41 Absatz 1 genannte Wahlrecht; Satz 2 kommt nicht zur Anwendung.</w:t>
      </w:r>
    </w:p>
    <w:p>
      <w:r>
        <w:t xml:space="preserve">(2) Die Ausübung der in § 5 Absatz 3, § 34 Absatz 1, § 35 Absatz 1, § 37 Absatz 1, § 38 Absatz 1, § 39 Absatz 1, § 40 Absatz 1, § 49 Absatz 1 Satz 2, § 50 Absatz 5 Satz 3, § 73 Absatz 1 und § 74 Absatz 1 genannten Wahlrechte bindet jeweils für fünf Geschäftsjahre, beginnend in dem Geschäftsjahr, in dem das Wahlrecht in Anspruch genommen wird. Die Bindung verlängert sich automatisch für weitere fünf Jahre, sofern die berichtspflichtige Geschäftseinheit die Inanspruchnahme des Wahlrechts nicht mit Wirkung zum Ende des Fünfjahreszeitraums widerruft. Der Widerruf bindet für fünf Geschäftsjahre, beginnend mit dem Geschäftsjahr, das auf das Ende des Fünfjahreszeitraums folgt, für das das Wahlrecht nach Satz 1 letztmals in Anspruch genommen wurde.</w:t>
      </w:r>
    </w:p>
    <w:p>
      <w:r>
        <w:t xml:space="preserve">(3) Die Inanspruchnahme der in den Absätzen 1 und 2 genannten Wahlrechte ist durch die berichtspflichtige Geschäftseinheit gegenüber der zuständigen Behörde des Steuerhoheitsgebiets zu erklären, in dem die berichtspflichtige Geschäftseinheit belegen ist.</w:t>
      </w:r>
    </w:p>
    <w:p>
      <w:r>
        <w:rPr>
          <w:color w:val="555555"/>
          <w:sz w:val="17"/>
        </w:rPr>
        <w:t xml:space="preserve">Zitiervorschlag: § 77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