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75a MinStG — Berichtigung des Mindeststeuer-Berichts</w:t>
      </w:r>
    </w:p>
    <w:p>
      <w:r>
        <w:rPr>
          <w:color w:val="555555"/>
          <w:sz w:val="18"/>
        </w:rPr>
        <w:t xml:space="preserve">Mindeststeuergesetz</w:t>
      </w:r>
    </w:p>
    <w:p>
      <w:r>
        <w:rPr>
          <w:color w:val="555555"/>
          <w:sz w:val="18"/>
        </w:rPr>
        <w:t xml:space="preserve">Stand: 03.01.2026 (konsolidierte Textfassung, kein amtliches Inkrafttretensdatum)</w:t>
      </w:r>
    </w:p>
    <w:p>
      <w:r>
        <w:t xml:space="preserve">(1) Hat das Bundeszentralamt für Steuern Grund zu der Annahme, dass ein von einer obersten Muttergesellschaft oder einer als berichtspflichtig benannten Geschäftseinheit, die im Steuerhoheitsgebiet eines anderen Mitgliedstaats der Europäischen Union oder eines Drittstaats belegen ist, nach Artikel 8ae der Richtlinie 2011/16/EU oder nach einer wirksamen völkerrechtlichen Vereinbarung übermittelter Mindeststeuer-Bericht offensichtlich fehlerhafte Informationen enthält, die berichtigt werden müssen, so unterrichtet es unverzüglich die zuständige Behörde des anderen Mitgliedstaats oder des Drittstaats. Wenn das Bundeszentralamt für Steuern nach einer Berichtigungsunterrichtung aus einem anderen Steuerhoheitsgebiet den dort genannten Mindeststeuer-Bericht für fehlerhaft hält, fordert es die betreffende oberste Muttergesellschaft oder die berichtspflichtige Geschäftseinheit unverzüglich auf, einen berichtigten Mindeststeuer-Bericht einzureichen. Das Bundeszentralamt für Steuern übermittelt den berichtigten Mindeststeuer-Bericht unverzüglich allen zuständigen Behörden, mit denen solche Informationen gemäß der Richtlinie 2011/16/EU oder einer innerstaatlich anwendbaren völkerrechtlichen Vereinbarung zum gegenseitigen automatischen Austausch von Informationen zu Mindeststeuer-Berichten zwischen ihren zuständigen Behörden auszutauschen sind.</w:t>
      </w:r>
    </w:p>
    <w:p>
      <w:r>
        <w:t xml:space="preserve">(2) Wurde das Bundeszentralamt für Steuern von einer Geschäftseinheit oder mehreren Geschäftseinheiten darüber unterrichtet, dass der Mindeststeuer-Bericht für diese Geschäftseinheiten von der obersten Muttergesellschaft oder der berichtspflichtigen Geschäftseinheit, die in einem anderen Steuerhoheitsgebiet belegen ist, einzureichen war, und wurden die im Mindeststeuer-Bericht enthaltenen Deutschland betreffenden Informationen nicht innerhalb der in § 75 Absatz 3 genannten Fristen übermittelt, so unterrichtet es die zuständige Behörde des anderen Steuerhoheitsgebiets unverzüglich darüber, dass die Informationen nicht bei ihr eingegangen sind. Wird das Bundeszentralamt für Steuern von einer Behörde in einem anderen Steuerhoheitsgebiet darüber unterrichtet, dass Informationen nicht bei ihr eingegangen sind, ermittelt es unverzüglich den Grund für die ausgebliebene Übermittlung des betreffenden Mindeststeuer-Berichts und teilt der zuständigen Behörde des anderen Steuerhoheitsgebiets diesen innerhalb eines Monats nach Eingang der Mitteilung mit, sofern möglich mit Angabe eines voraussichtlichen Datums für die Übermittlung des Mindeststeuer-Berichts. Dieses Datum soll höchstens drei Monate nach Eingang der Mitteilung über den ausgebliebenen Austausch liegen.</w:t>
      </w:r>
    </w:p>
    <w:p>
      <w:r>
        <w:rPr>
          <w:color w:val="555555"/>
          <w:sz w:val="17"/>
        </w:rPr>
        <w:t xml:space="preserve">Zitiervorschlag: § 75a MinStG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https://recht.nulegal.eu/gesetze/MinStG/75a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