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MinStG — Wahlrecht für steuerpflichtige Ausschüttungen von Investmenteinheiten</w:t>
      </w:r>
    </w:p>
    <w:p>
      <w:r>
        <w:rPr>
          <w:color w:val="555555"/>
          <w:sz w:val="18"/>
        </w:rPr>
        <w:t xml:space="preserve">Mindeststeuergesetz</w:t>
      </w:r>
    </w:p>
    <w:p>
      <w:r>
        <w:rPr>
          <w:color w:val="555555"/>
          <w:sz w:val="18"/>
        </w:rPr>
        <w:t xml:space="preserve">Stand: 28.12.2023 (konsolidierte Textfassung, kein amtliches Inkrafttretensdatum)</w:t>
      </w:r>
    </w:p>
    <w:p>
      <w:r>
        <w:t xml:space="preserve">(1) Auf Antrag der berichtspflichtigen Geschäftseinheit können gruppenzugehörige Gesellschafter, die keine Investmenteinheiten sind, die steuerpflichtigen Ausschüttungen ihrer Eigenkapitalbeteiligungen an Investmenteinheiten nach Absatz 2 behandeln, wenn nach vernünftiger kaufmännischer Beurteilung davon auszugehen ist, dass der Gesellschafter für diese einem Steuersatz unterliegt, der dem Mindeststeuersatz entspricht oder diesen übersteigt.</w:t>
      </w:r>
    </w:p>
    <w:p>
      <w:r>
        <w:t xml:space="preserve">(2) Wird das Wahlrecht nach Absatz 1 ausgeübt,</w:t>
      </w:r>
    </w:p>
    <w:p>
      <w:pPr>
        <w:ind w:left="420"/>
      </w:pPr>
      <w:r>
        <w:t xml:space="preserve">1. werden Ausschüttungen und fiktive Ausschüttungen des Mindeststeuer-Gewinns der Investmenteinheit in den Mindeststeuer-Gewinn des Gesellschafters einbezogen, der die Ausschüttung erhalten hat,</w:t>
      </w:r>
    </w:p>
    <w:p>
      <w:pPr>
        <w:ind w:left="420"/>
      </w:pPr>
      <w:r>
        <w:t xml:space="preserve">2. wird der im Inland anrechenbare Steueraufschlag in den Mindeststeuer-Gewinn und die angepassten erfassten Steuern des gruppenzugehörigen Gesellschafters einbezogen, der die Ausschüttung erhalten hat,</w:t>
      </w:r>
    </w:p>
    <w:p>
      <w:pPr>
        <w:ind w:left="420"/>
      </w:pPr>
      <w:r>
        <w:t xml:space="preserve">3. wird der proportionale Anteil des Gesellschafters am nicht ausgeschütteten Mindeststeuer-Gesamtgewinn der Investmenteinheit für das Bezugsjahr als Mindeststeuer-Gewinn der Investmenteinheit für das Geschäftsjahr behandelt und wird das Ergebnis der Multiplikation des Mindeststeuersatzes mit diesem Mindeststeuer-Gewinn für die Zwecke des Teils 2 als Ergänzungssteuerbetrag einer niedrig besteuerten Geschäftseinheit in diesem Geschäftsjahr behandelt und</w:t>
      </w:r>
    </w:p>
    <w:p>
      <w:pPr>
        <w:ind w:left="420"/>
      </w:pPr>
      <w:r>
        <w:t xml:space="preserve">4. werden der Mindeststeuer-Gewinn oder Mindeststeuer-Verlust der Investmenteinheit für das Geschäftsjahr und die gegebenenfalls auf diesen Gewinn entfallenden angepassten erfassten Steuern bei allen Berechnungen des effektiven Steuersatzes nach Teil 5 und des § 72 Absatz 1 und 2 ausgenommen, sofern Nummer 2 nichts anderes vorsieht.</w:t>
      </w:r>
    </w:p>
    <w:p>
      <w:r>
        <w:t xml:space="preserve">(3) Ein nicht ausgeschütteter Mindeststeuer-Gesamtgewinn für das Bezugsjahr ist nicht um Ausschüttungen oder fiktive Ausschüttungen zu kürzen, wenn diese Ausschüttungen oder fiktiven Ausschüttungen den nicht ausgeschütteten Mindeststeuer-Gesamtgewinn eines früheren Bezugsjahres gemindert haben. Für Zwecke der Berechnung des nicht ausgeschütteten Mindeststeuer-Gesamtgewinns wird ein Mindeststeuer-Verlust insoweit gekürzt, wie er den nicht ausgeschütteten Mindeststeuer-Gesamtgewinn am Ende eines vorangegangenen Geschäftsjahres gemindert hat. Wenn ein Mindeststeuer-Verlust für ein Geschäftsjahr bis zum Ende des letzten Bezugszeitraums, der dieses Geschäftsjahr umfasst, nicht auf null gekürzt wurde, erfolgt für den Restbetrag ein Investmentverlustvortrag, der in den folgenden Geschäftsjahren auf dieselbe Weise verrechnet wird wie ein Mindeststeuer-Verlust.</w:t>
      </w:r>
    </w:p>
    <w:p>
      <w:r>
        <w:t xml:space="preserve">(4) Der nicht ausgeschüttete Mindeststeuer-Gesamtgewinn für ein Geschäftsjahr ist der Mindeststeuer-Gewinn der Investmenteinheit für das untersuchte Geschäftsjahr, sofern ein solcher vorliegt, der um folgende Beträge bis null gekürzt wird:</w:t>
      </w:r>
    </w:p>
    <w:p>
      <w:pPr>
        <w:ind w:left="420"/>
      </w:pPr>
      <w:r>
        <w:t xml:space="preserve">1. erfasste Steuern der Investmenteinheit,</w:t>
      </w:r>
    </w:p>
    <w:p>
      <w:pPr>
        <w:ind w:left="420"/>
      </w:pPr>
      <w:r>
        <w:t xml:space="preserve">2. Ausschüttungen und fiktive Ausschüttungen im Bezugszeitraum, ausgenommen an Investmenteinheiten,</w:t>
      </w:r>
    </w:p>
    <w:p>
      <w:pPr>
        <w:ind w:left="420"/>
      </w:pPr>
      <w:r>
        <w:t xml:space="preserve">3. im Bezugszeitraum entstehende Mindeststeuer-Verluste und</w:t>
      </w:r>
    </w:p>
    <w:p>
      <w:pPr>
        <w:ind w:left="420"/>
      </w:pPr>
      <w:r>
        <w:t xml:space="preserve">4. Investmentverlustvorträge.</w:t>
      </w:r>
    </w:p>
    <w:p>
      <w:r>
        <w:t xml:space="preserve">(5) Für die Zwecke der Absätze 1 bis 4 gelten folgende Begriffsbestimmungen:</w:t>
      </w:r>
    </w:p>
    <w:p>
      <w:pPr>
        <w:ind w:left="420"/>
      </w:pPr>
      <w:r>
        <w:t xml:space="preserve">1. Bezugsjahr ist das dritte Jahr vor dem Geschäftsjahr.</w:t>
      </w:r>
    </w:p>
    <w:p>
      <w:pPr>
        <w:ind w:left="420"/>
      </w:pPr>
      <w:r>
        <w:t xml:space="preserve">2. Bezugszeitraum ist der Zeitraum, der mit dem ersten Tag des Bezugsjahres beginnt und mit dem letzten Tag des Geschäftsjahres endet, in dem die Eigenkapitalbeteiligung von einer der Unternehmensgruppe angehörenden Einheit gehalten wurde.</w:t>
      </w:r>
    </w:p>
    <w:p>
      <w:pPr>
        <w:ind w:left="420"/>
      </w:pPr>
      <w:r>
        <w:t xml:space="preserve">3. Eine fiktive Ausschüttung liegt vor, wenn eine unmittelbare oder mittelbare Eigenkapitalbeteiligung an der Investmenteinheit an eine nicht der Unternehmensgruppe angehörende Einheit übertragen wird; die Höhe dieser fiktiven Ausschüttung entspricht dem proportionalen Anteil des nicht ausgeschütteten Mindeststeuer-Gesamtgewinns, der im Zeitpunkt der Übertragung auf diese Eigenkapitalbeteiligung entfällt und der ohne Berücksichtigung der fiktiven Ausschüttung ermittelt wird.</w:t>
      </w:r>
    </w:p>
    <w:p>
      <w:pPr>
        <w:ind w:left="420"/>
      </w:pPr>
      <w:r>
        <w:t xml:space="preserve">4. Der im Inland anrechenbare Steueraufschlag ist der Betrag der von der Investmenteinheit zu entrichtenden erfassten Steuern, der auf die Steuerverbindlichkeiten des gruppenzugehörigen Gesellschafters, die im Zusammenhang mit einer Ausschüttung der Investmenteinheit entstehen, angerechnet werden kann.</w:t>
      </w:r>
    </w:p>
    <w:p>
      <w:r>
        <w:t xml:space="preserve">(6) Für das Wahlrecht nach Absatz 1 gilt § 77 Absatz 2. Wird die Inanspruchnahme des Wahlrechts widerrufen, so wird der proportionale Anteil des gruppenzugehörigen Gesellschafters am nicht ausgeschütteten Mindeststeuer-Gesamtgewinn der Investmenteinheit für das untersuchte Jahr am Ende des Geschäftsjahres vor dem Jahr des Widerrufs als Mindeststeuer-Gewinn der Investmenteinheit für das Jahr des Widerrufs behandelt und das Ergebnis der Multiplikation des Mindeststeuersatzes mit diesem Mindeststeuer-Gewinn wird im Jahr des Widerrufs als Ergänzungssteuerbetrag einer niedrig besteuerten Geschäftseinheit für die Zwecke des Teils 2 behandelt.</w:t>
      </w:r>
    </w:p>
    <w:p>
      <w:r>
        <w:rPr>
          <w:color w:val="555555"/>
          <w:sz w:val="17"/>
        </w:rPr>
        <w:t xml:space="preserve">Zitiervorschlag: § 74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