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MinStG — Steuertransparenzwahlrecht für Investmenteinheiten</w:t>
      </w:r>
    </w:p>
    <w:p>
      <w:r>
        <w:rPr>
          <w:color w:val="555555"/>
          <w:sz w:val="18"/>
        </w:rPr>
        <w:t xml:space="preserve">Mindeststeuergesetz</w:t>
      </w:r>
    </w:p>
    <w:p>
      <w:r>
        <w:rPr>
          <w:color w:val="555555"/>
          <w:sz w:val="18"/>
        </w:rPr>
        <w:t xml:space="preserve">Stand: 28.12.2023 (konsolidierte Textfassung, kein amtliches Inkrafttretensdatum)</w:t>
      </w:r>
    </w:p>
    <w:p>
      <w:r>
        <w:t xml:space="preserve">(1) Auf Antrag der berichtspflichtigen Geschäftseinheit kann eine Investmenteinheit als steuertransparente Gesellschaft behandelt werden, wenn</w:t>
      </w:r>
    </w:p>
    <w:p>
      <w:pPr>
        <w:ind w:left="420"/>
      </w:pPr>
      <w:r>
        <w:t xml:space="preserve">1. der gruppenzugehörige Gesellschafter in seinem Belegenheitsstaat zum Marktwert oder nach einer Regelung, die auf den jährlichen Änderungen des beizulegenden Zeitwerts seiner Eigenkapitalbeteiligung an dieser Geschäftseinheit beruht, besteuert wird und der für diesen Gesellschafter in Bezug auf solche Erträge geltende Steuersatz dem Mindeststeuersatz mindestens entspricht oder</w:t>
      </w:r>
    </w:p>
    <w:p>
      <w:pPr>
        <w:ind w:left="420"/>
      </w:pPr>
      <w:r>
        <w:t xml:space="preserve">2. es sich bei der Geschäftseinheit um eine regulierte Versicherungseinheit auf Gegenseitigkeit handelt.</w:t>
      </w:r>
    </w:p>
    <w:p>
      <w:r>
        <w:t xml:space="preserve">(2) Eine Geschäftseinheit, die eine Eigenkapitalbeteiligung an einer Investmenteinheit mittelbar über eine unmittelbare Eigenkapitalbeteiligung an einer anderen Investmenteinheit hält, gilt bezüglich ihrer mittelbaren Eigenkapitalbeteiligung an der erstgenannten Einheit als zum Marktwert oder nach einer ähnlichen Regelung im Sinne des Absatzes 1 Nummer 1 besteuert, wenn sie bezüglich ihrer unmittelbaren Eigenkapitalbeteiligung nach Absatz 1 Nummer 1 besteuert wird. Eine regulierte Versicherungseinheit auf Gegenseitigkeit ist eine Einheit, die einer mit den Vorgaben des Versicherungsaufsichtsgesetzes vergleichbaren Versicherungsaufsicht unterliegt und die Versicherungsgeschäfte ausschließlich mit ihren Gesellschaftern betreibt.</w:t>
      </w:r>
    </w:p>
    <w:p>
      <w:r>
        <w:t xml:space="preserve">(3) Für das Wahlrecht gilt § 77 Absatz 2. Wird die Inanspruchnahme des Wahlrechts widerrufen, so werden die Gewinne oder Verluste aus der Veräußerung eines von der Investmenteinheit gehaltenen Vermögenswerts oder einer von der Investmenteinheit gehaltenen Schuld auf der Grundlage des beizulegenden Zeitwerts der Vermögenswerte oder der Schuld zum ersten Tag des Jahres des Widerrufs bestimmt.</w:t>
      </w:r>
    </w:p>
    <w:p>
      <w:r>
        <w:rPr>
          <w:color w:val="555555"/>
          <w:sz w:val="17"/>
        </w:rPr>
        <w:t xml:space="preserve">Zitiervorschlag: § 73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