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MinStG — Begriffsbestimmungen</w:t>
      </w:r>
    </w:p>
    <w:p>
      <w:r>
        <w:rPr>
          <w:color w:val="555555"/>
          <w:sz w:val="18"/>
        </w:rPr>
        <w:t xml:space="preserve">Mindeststeuergesetz</w:t>
      </w:r>
    </w:p>
    <w:p>
      <w:r>
        <w:rPr>
          <w:color w:val="555555"/>
          <w:sz w:val="18"/>
        </w:rPr>
        <w:t xml:space="preserve">Stand: 03.01.2026 (konsolidierte Textfassung, kein amtliches Inkrafttretensdatum)</w:t>
      </w:r>
    </w:p>
    <w:p>
      <w:r>
        <w:t xml:space="preserve">(1) Für Zwecke dieses Gesetzes gelten, soweit nicht an anderer Stelle in diesem Gesetz erfolgt, die in den nachstehenden Absätzen definierten Begriffsbestimmungen.</w:t>
      </w:r>
    </w:p>
    <w:p>
      <w:r>
        <w:t xml:space="preserve">(2) Anerkannte nationale Ergänzungssteuer ist eine Steuer, die im nationalen Recht eines Steuerhoheitsgebiets vorgesehen ist und</w:t>
      </w:r>
    </w:p>
    <w:p>
      <w:pPr>
        <w:ind w:left="420"/>
      </w:pPr>
      <w:r>
        <w:t xml:space="preserve">1. bei der der bereinigte Mindeststeuer-Gesamtgewinn der in dem Steuerhoheitsgebiet belegenen Geschäftseinheiten auf eine Weise ermittelt wird, die den GloBE-Mustervorschriften entspricht;</w:t>
      </w:r>
    </w:p>
    <w:p>
      <w:pPr>
        <w:ind w:left="420"/>
      </w:pPr>
      <w:r>
        <w:t xml:space="preserve">2. die dazu dient, die Steuerschuld im Hinblick auf den inländischen bereinigten Mindeststeuer-Gesamtgewinn für das Steuerhoheitsgebiet und die Geschäftseinheiten in einem Geschäftsjahr auf den Mindeststeuersatz anzuheben und</w:t>
      </w:r>
    </w:p>
    <w:p>
      <w:pPr>
        <w:ind w:left="420"/>
      </w:pPr>
      <w:r>
        <w:t xml:space="preserve">3. die auf eine Weise umgesetzt und verwaltet wird, die mit den Vorschriften der GloBE-Mustervorschriften im Einklang steht, und das betreffende Steuerhoheitsgebiet keine mit diesen Bestimmungen im Zusammenhang stehenden Vorteile gewährt.</w:t>
      </w:r>
    </w:p>
    <w:p>
      <w:r>
        <w:t xml:space="preserve">Der bereinigte Mindeststeuer-Gesamtgewinn kann auf der Grundlage eines vom zugelassenen Standardsetzer anerkannten Rechnungslegungsstandards oder eines zugelassenen Rechnungslegungsstandards, der zur Vermeidung erheblicher Vergleichbarkeitseinschränkungen angepasst wurde, anstatt des im Konzernabschluss verwendeten Rechnungslegungsstandards berechnet werden.</w:t>
      </w:r>
    </w:p>
    <w:p>
      <w:r>
        <w:t xml:space="preserve">(3) Anerkannte Primärergänzungssteuerregelung bezeichnet ein Regelwerk, das</w:t>
      </w:r>
    </w:p>
    <w:p>
      <w:pPr>
        <w:ind w:left="420"/>
      </w:pPr>
      <w:r>
        <w:t xml:space="preserve">1. im nationalen Recht eines Steuerhoheitsgebiets umgesetzt ist,</w:t>
      </w:r>
    </w:p>
    <w:p>
      <w:pPr>
        <w:ind w:left="420"/>
      </w:pPr>
      <w:r>
        <w:t xml:space="preserve">2. den GloBE-Mustervorschriften gleichwertig ist, nach denen die Muttergesellschaft einer Unternehmensgruppe den ihr zuzurechnenden Anteil an der Ergänzungssteuer für die niedrig besteuerten Geschäftseinheiten dieser Unternehmensgruppe berechnet und entrichtet,</w:t>
      </w:r>
    </w:p>
    <w:p>
      <w:pPr>
        <w:ind w:left="420"/>
      </w:pPr>
      <w:r>
        <w:t xml:space="preserve">3. in einer Weise verwaltet wird, die mit den GloBE-Mustervorschriften in Einklang steht, und</w:t>
      </w:r>
    </w:p>
    <w:p>
      <w:pPr>
        <w:ind w:left="420"/>
      </w:pPr>
      <w:r>
        <w:t xml:space="preserve">4. keine im Zusammenhang mit diesem Regelwerk stehende Vorteile gewährt.</w:t>
      </w:r>
    </w:p>
    <w:p>
      <w:r>
        <w:t xml:space="preserve">(4) Anerkannte Rechnungslegungsstandards sind</w:t>
      </w:r>
    </w:p>
    <w:p>
      <w:pPr>
        <w:ind w:left="420"/>
      </w:pPr>
      <w:r>
        <w:t xml:space="preserve">1. die vom International Accounting Standards Board verabschiedeten International Financial Reporting Standards nach dem International Accounting Standard 1 Ziffer 7 (internationale Rechnungslegungsstandards),</w:t>
      </w:r>
    </w:p>
    <w:p>
      <w:pPr>
        <w:ind w:left="420"/>
      </w:pPr>
      <w:r>
        <w:t xml:space="preserve">2. die nach den Artikeln 2, 3 und 6 der Verordnung (EG) Nr. 1606/2002 des Europäischen Parlaments und des Rates vom 19. Juli 2002 betreffend die Anwendung internationaler Rechnungslegungsstandards (ABl. L 243 vom 11.9.2002, S. 1), die zuletzt durch die Verordnung (EG) Nr. 297/2008 (ABl. L 97 vom 9.4.2008, S. 62) geändert worden ist, übernommenen internationalen Rechnungslegungsstandards und</w:t>
      </w:r>
    </w:p>
    <w:p>
      <w:pPr>
        <w:ind w:left="420"/>
      </w:pPr>
      <w:r>
        <w:t xml:space="preserve">3. die allgemein anerkannten Rechnungslegungsgrundsätze von Australien, Brasilien, den Mitgliedstaaten der Europäischen Union, den anderen Vertragsstaaten des Europäischen Wirtschaftsraums, von Hongkong (Volksrepublik China), Japan, Kanada, Mexiko, Neuseeland, der Republik Indien, der Republik Korea, von Russland, der Schweiz, von Singapur, dem Vereinigten Königreich, den Vereinigten Staaten von Amerika und der Volksrepublik China.</w:t>
      </w:r>
    </w:p>
    <w:p>
      <w:r>
        <w:t xml:space="preserve">(5) Anerkannte Sekundärergänzungssteuerregelung bezeichnet ein Regelwerk, das</w:t>
      </w:r>
    </w:p>
    <w:p>
      <w:pPr>
        <w:ind w:left="420"/>
      </w:pPr>
      <w:r>
        <w:t xml:space="preserve">1. im nationalen Recht eines Steuerhoheitsgebiets umgesetzt ist,</w:t>
      </w:r>
    </w:p>
    <w:p>
      <w:pPr>
        <w:ind w:left="420"/>
      </w:pPr>
      <w:r>
        <w:t xml:space="preserve">2. den GloBE-Mustervorschriften gleichwertig ist, nach denen ein Steuerhoheitsgebiet seinen zuzurechnenden Anteil an der Ergänzungssteuer einer Unternehmensgruppe, welcher nicht nach der Primärergänzungssteuerregelung erhoben wurde, für die niedrig besteuerten Geschäftseinheiten der Unternehmensgruppe erhebt,</w:t>
      </w:r>
    </w:p>
    <w:p>
      <w:pPr>
        <w:ind w:left="420"/>
      </w:pPr>
      <w:r>
        <w:t xml:space="preserve">3. in einer Weise verwaltet wird, die mit den GloBE-Mustervorschriften in Einklang steht, und</w:t>
      </w:r>
    </w:p>
    <w:p>
      <w:pPr>
        <w:ind w:left="420"/>
      </w:pPr>
      <w:r>
        <w:t xml:space="preserve">4. keine im Zusammenhang mit diesem Regelwerk stehende Vorteile gewährt.</w:t>
      </w:r>
    </w:p>
    <w:p>
      <w:r>
        <w:t xml:space="preserve">(6) Beizulegender Zeitwert ist der Preis, der in einem gewöhnlichen Geschäftsvorfall zwischen Marktteilnehmern am Bewertungsstichtag für den Verkauf eines Vermögenswerts erzielt oder für die Übertragung einer Schuld gezahlt würde.</w:t>
      </w:r>
    </w:p>
    <w:p>
      <w:r>
        <w:t xml:space="preserve">(7) Berichtspflichtige Geschäftseinheit ist die Geschäftseinheit, die nach § 75 Absatz 1 zur Einreichung des Mindeststeuer-Berichts verpflichtet ist oder diesen nach § 75 Absatz 1 Satz 2 oder Absatz 2 einreicht.</w:t>
      </w:r>
    </w:p>
    <w:p>
      <w:r>
        <w:t xml:space="preserve">(8) Eigenkapitalbeteiligung ist eine Beteiligung am Eigenkapital, die mit Rechten an den Gewinnen, dem Kapital oder den Rücklagen eines Unternehmens, einschließlich der Gewinne, des Kapitals oder der Rücklagen der Betriebsstätte eines Stammhauses verbunden ist. Als Eigenkapitalbeteiligung gelten auch Anteile an einer Investmenteinheit.</w:t>
      </w:r>
    </w:p>
    <w:p>
      <w:r>
        <w:t xml:space="preserve">(9) Equity-Methode ist eine Bilanzierungsmethode, bei der die Anteile zunächst mit den Anschaffungskosten angesetzt und in der Folge entsprechend dem Anteil des Anteilseigners am sich ändernden Reinvermögen des Beteiligungsunternehmens berichtigt werden.</w:t>
      </w:r>
    </w:p>
    <w:p>
      <w:r>
        <w:t xml:space="preserve">(10) Erhebliche Vergleichbarkeitseinschränkung ergibt sich in Bezug auf die Anwendung eines bestimmten Grundsatzes oder Verfahrens nach einem Katalog allgemein anerkannter Rechnungslegungsgrundsätze, wenn die Anwendung des betreffenden Grundsatzes oder Verfahrens in einem Geschäftsjahr zu einer Gesamtabweichung von mehr als 75 Millionen Euro gegenüber dem Betrag führt, der sich bei Anwendung des entsprechenden Grundsatzes oder Verfahrens der internationalen Rechnungslegungsstandards ergeben hätte. Führt die Anwendung eines bestimmten Grundsatzes oder Verfahrens zu einer erheblichen Vergleichbarkeitseinschränkung, so muss die buchmäßige Behandlung eines Postens oder Geschäftsvorfalls nach diesem Grundsatz oder Verfahren so angepasst werden, dass sie im Einklang mit den GloBE-Mustervorschriften der Behandlung entspricht, die nach internationalen Rechnungslegungsstandards für diesen Posten oder Geschäftsvorfall vorgesehen ist.</w:t>
      </w:r>
    </w:p>
    <w:p>
      <w:r>
        <w:t xml:space="preserve">(11) Geschäftsjahr ist der Rechnungslegungszeitraum, für den die oberste Muttergesellschaft einen Konzernabschluss aufstellt. Im Fall des Absatzes 21 Nummer 4 ist Geschäftsjahr regelmäßig das Kalenderjahr.</w:t>
      </w:r>
    </w:p>
    <w:p>
      <w:r>
        <w:t xml:space="preserve">(12) GloBE-Mustervorschriften sind die vom Inclusive Framework on BEPS betreffend die „Steuerliche[n] Herausforderungen der Digitalisierung der Wirtschaft – GloBE-Mustervorschriften (Säule 2)“ am 14. Dezember 2021 gebilligten Regelungen.</w:t>
      </w:r>
    </w:p>
    <w:p>
      <w:r>
        <w:t xml:space="preserve">(13) Gruppenzugehöriger Gesellschafter einer Geschäftseinheit ist eine Geschäftseinheit, die unmittelbar oder mittelbar eine Eigenkapitalbeteiligung an einer anderen Geschäftseinheit derselben Unternehmensgruppe hält.</w:t>
      </w:r>
    </w:p>
    <w:p>
      <w:r>
        <w:t xml:space="preserve">(14) Eine Hinzurechnungsbesteuerung liegt vor, wenn auf Grundlage eines Katalogs von Steuervorschriften, die keine Primärergänzungssteuerregelungen (§§ 8 bis 10) sind, ein unmittelbarer oder mittelbarer Gesellschafter einer ausländischen Geschäftseinheit für seinen Anteil an einem Teil oder an der Gesamtheit der von dieser erzielten Erträge einer laufenden Besteuerung unterliegt, unabhängig davon, ob diese Erträge im laufenden Geschäftsjahr an den Gesellschafter ausgeschüttet werden.</w:t>
      </w:r>
    </w:p>
    <w:p>
      <w:r>
        <w:t xml:space="preserve">(15) Immobilien-Investmentvehikel ist eine in Streubesitz befindliche Einheit, die überwiegend unbewegliches Vermögen hält und deren Erträge einer Ein-Ebenen-Besteuerung unterliegen, entweder bei ihr selbst oder, mit höchstens einem Jahr Aufschub, bei ihren Anteilsinhabern.</w:t>
      </w:r>
    </w:p>
    <w:p>
      <w:r>
        <w:t xml:space="preserve">(16) Inland ist das Hoheitsgebiet der Bundesrepublik Deutschland sowie der ihr zustehende Anteil an der ausschließlichen Wirtschaftszone und am Festlandsockel.</w:t>
      </w:r>
    </w:p>
    <w:p>
      <w:r>
        <w:t xml:space="preserve">(17) Internationale Organisation ist eine zwischenstaatliche Organisation, einschließlich einer supranationalen Organisation, oder eine in deren Alleineigentum stehende Behörde oder Einrichtung,</w:t>
      </w:r>
    </w:p>
    <w:p>
      <w:pPr>
        <w:ind w:left="420"/>
      </w:pPr>
      <w:r>
        <w:t xml:space="preserve">1. die hauptsächlich aus Staaten besteht,</w:t>
      </w:r>
    </w:p>
    <w:p>
      <w:pPr>
        <w:ind w:left="420"/>
      </w:pPr>
      <w:r>
        <w:t xml:space="preserve">2. die ein Sitzabkommen oder ein im Wesentlichen ähnliches Abkommen, das Vorrechte und Immunitäten gewährt, mit dem Hoheitsgebiet, in dem sie niedergelassen ist, abgeschlossen hat, und</w:t>
      </w:r>
    </w:p>
    <w:p>
      <w:pPr>
        <w:ind w:left="420"/>
      </w:pPr>
      <w:r>
        <w:t xml:space="preserve">3. deren Erträge aufgrund eines Gesetzes oder ihrer Satzung Privatpersonen nicht zugutekommen.</w:t>
      </w:r>
    </w:p>
    <w:p>
      <w:r>
        <w:t xml:space="preserve">(18) Investmenteinheit ist</w:t>
      </w:r>
    </w:p>
    <w:p>
      <w:pPr>
        <w:ind w:left="420"/>
      </w:pPr>
      <w:r>
        <w:t xml:space="preserve">1. ein Investmentvehikel, ein Immobilien-Investmentvehikel oder eine Versicherungsinvestmenteinheit;</w:t>
      </w:r>
    </w:p>
    <w:p>
      <w:pPr>
        <w:ind w:left="420"/>
      </w:pPr>
      <w:r>
        <w:t xml:space="preserve">2. eine Einheit, die zu mindestens 95 Prozent unmittelbar von einer in Nummer 1 genannten Einheit oder über eine Kette solcher Einheiten gehalten wird und die ausschließlich oder fast ausschließlich Vermögenswerte hält oder Gelder zugunsten dieser Investmenteinheiten investiert, oder</w:t>
      </w:r>
    </w:p>
    <w:p>
      <w:pPr>
        <w:ind w:left="420"/>
      </w:pPr>
      <w:r>
        <w:t xml:space="preserve">3. eine Einheit, bei der mindestens 85 Prozent des Werts dieser Einheit im Eigentum einer in Nummer 1 genannten Einheit stehen, wenn die Erträge dieser Einheit im Wesentlichen bei der Berechnung des Mindeststeuer-Gewinns oder Mindeststeuer-Verlusts nach § 18 Nummer 2 in Verbindung mit § 20 oder nach § 18 Nummer 3 in Verbindung mit § 21 ausgenommen werden.</w:t>
      </w:r>
    </w:p>
    <w:p>
      <w:r>
        <w:t xml:space="preserve">(19) Investmentvehikel ist eine Einheit,</w:t>
      </w:r>
    </w:p>
    <w:p>
      <w:pPr>
        <w:ind w:left="420"/>
      </w:pPr>
      <w:r>
        <w:t xml:space="preserve">1. die dazu bestimmt ist, Vermögenswerte finanzieller und nicht finanzieller Art von einer Mehrzahl von Anlegern zu bündeln, wobei verbundene Anleger nicht als mehrere gelten,</w:t>
      </w:r>
    </w:p>
    <w:p>
      <w:pPr>
        <w:ind w:left="420"/>
      </w:pPr>
      <w:r>
        <w:t xml:space="preserve">2. die nach einer festgelegten Anlagestrategie investiert,</w:t>
      </w:r>
    </w:p>
    <w:p>
      <w:pPr>
        <w:ind w:left="420"/>
      </w:pPr>
      <w:r>
        <w:t xml:space="preserve">3. die es den Anlegern ermöglicht, die Transaktions-, Forschungs- und Analysekosten zu senken oder das Risiko kollektiv zu streuen,</w:t>
      </w:r>
    </w:p>
    <w:p>
      <w:pPr>
        <w:ind w:left="420"/>
      </w:pPr>
      <w:r>
        <w:t xml:space="preserve">4. deren Zweck in erster Linie die Erzielung von Anlageerträgen oder -gewinnen oder der Schutz gegen ein bestimmtes oder allgemeines Ereignis oder Ergebnis ist,</w:t>
      </w:r>
    </w:p>
    <w:p>
      <w:pPr>
        <w:ind w:left="420"/>
      </w:pPr>
      <w:r>
        <w:t xml:space="preserve">5. deren Anleger einen Anspruch auf Erträge aus den Vermögenswerten des Investmentvehikels oder auf Erträge aus diesen Vermögenswerten auf der Grundlage der von diesen Anlegern geleisteten Beiträge haben,</w:t>
      </w:r>
    </w:p>
    <w:p>
      <w:pPr>
        <w:ind w:left="420"/>
      </w:pPr>
      <w:r>
        <w:t xml:space="preserve">6. die oder deren Geschäftsleitung einer aufsichtsrechtlichen Regelung einschließlich ausreichender Vorschriften zur Bekämpfung der Geldwäsche und zum Anlegerschutz in dem Steuerhoheitsgebiet, in dem sie errichtet ist oder verwaltet wird, unterliegt und</w:t>
      </w:r>
    </w:p>
    <w:p>
      <w:pPr>
        <w:ind w:left="420"/>
      </w:pPr>
      <w:r>
        <w:t xml:space="preserve">7. die von professionellen Verwaltern im Auftrag der Anleger verwaltet wird.</w:t>
      </w:r>
    </w:p>
    <w:p>
      <w:r>
        <w:t xml:space="preserve">(20) Kontrollbeteiligung ist eine Eigenkapitalbeteiligung an einer Einheit, die dazu führt, dass der Halter dieser Eigenkapitalbeteiligung verpflichtet ist oder bei Aufstellung eines Konzernabschlusses verpflichtet wäre, die Vermögenswerte, Verbindlichkeiten, Erträge, Aufwendungen und Zahlungsströme der Einheit nach einem anerkannten Rechnungslegungsstandard zu konsolidieren. Bei einem Stammhaus wird unterstellt, dass es als gruppenzugehöriger Gesellschafter die Kontrollbeteiligungen an seinen Betriebsstätten hält.</w:t>
      </w:r>
    </w:p>
    <w:p>
      <w:r>
        <w:t xml:space="preserve">(21) Konzernabschluss ist</w:t>
      </w:r>
    </w:p>
    <w:p>
      <w:pPr>
        <w:ind w:left="420"/>
      </w:pPr>
      <w:r>
        <w:t xml:space="preserve">1. der von der obersten Muttergesellschaft nach einem anerkannten Rechnungslegungsstandard aufgestellte Abschluss, in dem die Vermögenswerte, Verbindlichkeiten, Erträge, Aufwendungen und Zahlungsströme dieser Einheit und aller Einheiten, an denen diese eine Kontrollbeteiligung hält, so dargestellt werden, als gehörten sie zu einer einzigen wirtschaftlichen Einheit;</w:t>
      </w:r>
    </w:p>
    <w:p>
      <w:pPr>
        <w:ind w:left="420"/>
      </w:pPr>
      <w:r>
        <w:t xml:space="preserve">2. bei einer Unternehmensgruppe nach § 4 Absatz 1 Satz 2 der von der obersten Muttergesellschaft nach einem anerkannten Rechnungslegungsstandard aufgestellte Abschluss;</w:t>
      </w:r>
    </w:p>
    <w:p>
      <w:pPr>
        <w:ind w:left="420"/>
      </w:pPr>
      <w:r>
        <w:t xml:space="preserve">3. der von der obersten Muttergesellschaft nach einem anderen zugelassenen Rechnungslegungsstandard aufgestellte und mit Nummer 1 oder 2 vergleichbare Abschluss, sofern dieser zur Vermeidung erheblicher Vergleichbarkeitseinschränkungen angepasst wurde, und</w:t>
      </w:r>
    </w:p>
    <w:p>
      <w:pPr>
        <w:ind w:left="420"/>
      </w:pPr>
      <w:r>
        <w:t xml:space="preserve">4. wenn die oberste Muttergesellschaft keinen in den vorstehenden Nummern beschriebenen Abschluss aufstellt, der Abschluss, der nach einem zugelassenen Rechnungslegungsstandard aufgestellt worden wäre, wenn die oberste Muttergesellschaft hierzu verpflichtet gewesen wäre; der zugelassene Rechnungslegungsstandard kann entweder ein anerkannter Rechnungslegungsstandard oder ein anderer zugelassener Rechnungslegungsstandard sein, der zur Vermeidung erheblicher Vergleichbarkeitseinschränkungen angepasst wurde.</w:t>
      </w:r>
    </w:p>
    <w:p>
      <w:r>
        <w:t xml:space="preserve">(22) Niedrig besteuerte Geschäftseinheit ist eine</w:t>
      </w:r>
    </w:p>
    <w:p>
      <w:pPr>
        <w:ind w:left="420"/>
      </w:pPr>
      <w:r>
        <w:t xml:space="preserve">1. Geschäftseinheit, die in einem Niedrigsteuerhoheitsgebiet belegen ist, oder</w:t>
      </w:r>
    </w:p>
    <w:p>
      <w:pPr>
        <w:ind w:left="420"/>
      </w:pPr>
      <w:r>
        <w:t xml:space="preserve">2. staatenlose Geschäftseinheit, die in einem Geschäftsjahr einen Mindeststeuer-Gewinn erzielt und in diesem Geschäftsjahr einem nach Teil 5 dieses Gesetzes ermittelten effektiven Steuersatz unterliegt, der unter dem Mindeststeuersatz liegt.</w:t>
      </w:r>
    </w:p>
    <w:p>
      <w:r>
        <w:t xml:space="preserve">(23) Niedrigsteuerhoheitsgebiet ist ein Steuerhoheitsgebiet, in dem eine multinationale Unternehmensgruppe einen Mindeststeuer-Gesamtgewinn erzielt und im betreffenden Geschäftsjahr einem nach Teil 5 dieses Gesetzes ermittelten effektiven Steuersatz unterliegt, der unter dem Mindeststeuersatz liegt.</w:t>
      </w:r>
    </w:p>
    <w:p>
      <w:r>
        <w:t xml:space="preserve">(24) Organisation ohne Erwerbszweck ist jede Körperschaft, Personenvereinigung oder Vermögensmasse im Sinne des § 5 Absatz 1 Nummer 9 des Körperschaftsteuergesetzes. Eine Organisation ohne Erwerbszweck ist auch eine Einheit,</w:t>
      </w:r>
    </w:p>
    <w:p>
      <w:pPr>
        <w:ind w:left="420"/>
      </w:pPr>
      <w:r>
        <w:t xml:space="preserve">1. die im Belegenheitsstaat ausschließlich für religiöse, gemeinnützige, wissenschaftliche, künstlerische, kulturelle, sportliche, erzieherische oder andere ähnliche Zwecke oder als Berufsverband, Wirtschaftsverband, Handelskammer, Arbeitnehmerverband, Landwirtschaftsverband oder Gartenbauverband, Bürgervereinigung oder als Organisation, die ausschließlich der Förderung der sozialen Wohlfahrt dient, errichtet und betrieben wird,</w:t>
      </w:r>
    </w:p>
    <w:p>
      <w:pPr>
        <w:ind w:left="420"/>
      </w:pPr>
      <w:r>
        <w:t xml:space="preserve">2. deren Einkünfte aus den vorgenannten Tätigkeiten im Belegenheitsstaat vollständig oder nahezu vollständig steuerbefreit sind,</w:t>
      </w:r>
    </w:p>
    <w:p>
      <w:pPr>
        <w:ind w:left="420"/>
      </w:pPr>
      <w:r>
        <w:t xml:space="preserve">3. die keine Anteilseigner oder Mitglieder hat, die ein eigenes Interesse an den Einkünften oder am Vermögen dieser Einheit haben,</w:t>
      </w:r>
    </w:p>
    <w:p>
      <w:pPr>
        <w:ind w:left="420"/>
      </w:pPr>
      <w:r>
        <w:t xml:space="preserve">4. deren Einkünfte oder Vermögenswerte nicht an Privatpersonen oder nicht steuerbegünstigte Einheiten ausgeschüttet oder zu deren Gunsten verwendet werden, außer dies erfolgt in Übereinstimmung mit einer steuerbegünstigten Tätigkeit dieser Einheit oder als Zahlung einer angemessenen Vergütung für erbrachte Dienstleistungen, Nutzungsüberlassungen oder für erworbene Vermögenswerte, und</w:t>
      </w:r>
    </w:p>
    <w:p>
      <w:pPr>
        <w:ind w:left="420"/>
      </w:pPr>
      <w:r>
        <w:t xml:space="preserve">5. deren Vermögenswerte bei Beendigung, Liquidation oder Auflösung an eine Organisation ohne Erwerbszweck oder staatliche Einheit ihres Belegenheitsstaats ausgekehrt werden.</w:t>
      </w:r>
    </w:p>
    <w:p>
      <w:r>
        <w:t xml:space="preserve">Die Sätze 1 und 2 gelten nicht für eine Einheit, soweit diese eine Handels- oder Geschäftstätigkeit ausübt, welche nicht unmittelbar den Zweck, für den sie errichtet wurde, verfolgt.</w:t>
      </w:r>
    </w:p>
    <w:p>
      <w:r>
        <w:t xml:space="preserve">(25) Passive Erträge sind die folgenden im Mindeststeuer-Gewinn berücksichtigten Erträge:</w:t>
      </w:r>
    </w:p>
    <w:p>
      <w:pPr>
        <w:ind w:left="420"/>
      </w:pPr>
      <w:r>
        <w:t xml:space="preserve">1. Dividenden oder dividendenähnliche Erträge,</w:t>
      </w:r>
    </w:p>
    <w:p>
      <w:pPr>
        <w:ind w:left="420"/>
      </w:pPr>
      <w:r>
        <w:t xml:space="preserve">2. Zinsen oder zinsähnliche Erträge,</w:t>
      </w:r>
    </w:p>
    <w:p>
      <w:pPr>
        <w:ind w:left="420"/>
      </w:pPr>
      <w:r>
        <w:t xml:space="preserve">3. Mieten,</w:t>
      </w:r>
    </w:p>
    <w:p>
      <w:pPr>
        <w:ind w:left="420"/>
      </w:pPr>
      <w:r>
        <w:t xml:space="preserve">4. Lizenzgebühren,</w:t>
      </w:r>
    </w:p>
    <w:p>
      <w:pPr>
        <w:ind w:left="420"/>
      </w:pPr>
      <w:r>
        <w:t xml:space="preserve">5. Annuitäten oder</w:t>
      </w:r>
    </w:p>
    <w:p>
      <w:pPr>
        <w:ind w:left="420"/>
      </w:pPr>
      <w:r>
        <w:t xml:space="preserve">6. Nettogewinne aus Vermögen, das zu unter den Nummern 1 bis 5 genannten Erträgen führt,</w:t>
      </w:r>
    </w:p>
    <w:p>
      <w:r>
        <w:t xml:space="preserve">aber nur, soweit ein gruppenzugehöriger Gesellschafter mit diesen Erträgen der Hinzurechnungsbesteuerung oder aufgrund einer Eigenkapitalbeteiligung an einer hybriden Einheit der Besteuerung unterliegt.</w:t>
      </w:r>
    </w:p>
    <w:p>
      <w:r>
        <w:t xml:space="preserve">(26) Pensions-Dienstleistungseinheit ist eine Einheit, die ausschließlich oder fast ausschließlich errichtet und betrieben wird, um</w:t>
      </w:r>
    </w:p>
    <w:p>
      <w:pPr>
        <w:ind w:left="420"/>
      </w:pPr>
      <w:r>
        <w:t xml:space="preserve">1. Finanzmittel zugunsten einer Einrichtung im Sinne des Absatzes 27 Satz 2 Nummer 1 anzulegen oder</w:t>
      </w:r>
    </w:p>
    <w:p>
      <w:pPr>
        <w:ind w:left="420"/>
      </w:pPr>
      <w:r>
        <w:t xml:space="preserve">2. Hilfs- und Nebentätigkeiten zu den regulierten Tätigkeiten einer Einrichtung im Sinne des Absatzes 27 Satz 2 Nummer 1 auszuüben, vorausgesetzt, sie gehört derselben Unternehmensgruppe an.</w:t>
      </w:r>
    </w:p>
    <w:p>
      <w:r>
        <w:t xml:space="preserve">(27) Pensionseinheit ist jede öffentlich-rechtliche Versicherungs- und Versorgungseinrichtung im Sinne des § 5 Absatz 1 Nummer 8 des Körperschaftsteuergesetzes. Eine Pensionseinheit ist auch eine</w:t>
      </w:r>
    </w:p>
    <w:p>
      <w:pPr>
        <w:ind w:left="420"/>
      </w:pPr>
      <w:r>
        <w:t xml:space="preserve">1. Einrichtung, die errichtet und betrieben wird, um ausschließlich oder fast ausschließlich Altersversorgungsleistungen und Zusatz- oder Nebenleistungen für Einzelpersonen zu verwalten oder zu erbringen, die als solche einer staatlichen Regulierung unterliegen oder deren Leistungen durch nationale Vorschriften gesichert oder anderweitig geschützt sind und finanziert werden durch einen Pool von Vermögenswerten, der über eine Treuhandeinrichtung oder einen Treuhänder gehalten wird, um die Erfüllung der entsprechenden Pensionsverpflichtungen im Fall der Insolvenz der Unternehmensgruppe zu gewährleisten, und</w:t>
      </w:r>
    </w:p>
    <w:p>
      <w:pPr>
        <w:ind w:left="420"/>
      </w:pPr>
      <w:r>
        <w:t xml:space="preserve">2. Pensions-Dienstleistungseinheit.</w:t>
      </w:r>
    </w:p>
    <w:p>
      <w:r>
        <w:t xml:space="preserve">(28) Richtlinie (EU) 2022/2523 ist die Richtlinie (EU) 2022/2523 des Rates vom 15. Dezember 2022 zur Gewährleistung einer globalen Mindestbesteuerung für multinationale Unternehmensgruppen und große inländische Gruppen in der Union (ABl. L 328 vom 22.12.2022, S. 1; L 13 vom 16.1.2023, S. 9).</w:t>
      </w:r>
    </w:p>
    <w:p>
      <w:r>
        <w:t xml:space="preserve">(29) Sonstiges Ergebnis umfasst Ertrags- und Aufwandsposten, die gemäß dem für die Aufstellung des Konzernabschlusses verwendeten zugelassenen Rechnungslegungsstandard nicht erfolgswirksam erfasst werden dürfen oder müssen.</w:t>
      </w:r>
    </w:p>
    <w:p>
      <w:r>
        <w:t xml:space="preserve">(30) Staatliche Einheit ist jede Körperschaft, Personenvereinigung oder Vermögensmasse im Sinne des § 5 Absatz 1 Nummer 2 des Körperschaftsteuergesetzes. Eine staatliche Einheit ist auch eine Einheit,</w:t>
      </w:r>
    </w:p>
    <w:p>
      <w:pPr>
        <w:ind w:left="420"/>
      </w:pPr>
      <w:r>
        <w:t xml:space="preserve">1. die Teil der öffentlichen Hand ist oder sich in deren alleinigem Eigentum befindet,</w:t>
      </w:r>
    </w:p>
    <w:p>
      <w:pPr>
        <w:ind w:left="420"/>
      </w:pPr>
      <w:r>
        <w:t xml:space="preserve">2. deren Hauptzweck die Erfüllung hoheitlicher Aufgaben oder die Verwaltung des Vermögens der öffentlichen Hand, einschließlich der damit verbundenen Investitionstätigkeiten, ist, soweit diese keine gewerbliche Tätigkeit ausübt,</w:t>
      </w:r>
    </w:p>
    <w:p>
      <w:pPr>
        <w:ind w:left="420"/>
      </w:pPr>
      <w:r>
        <w:t xml:space="preserve">3. die gegenüber der öffentlichen Hand berichtspflichtig ist und jährliche Informationsberichte vorlegt und</w:t>
      </w:r>
    </w:p>
    <w:p>
      <w:pPr>
        <w:ind w:left="420"/>
      </w:pPr>
      <w:r>
        <w:t xml:space="preserve">4. deren Vermögen bei Auflösung und deren Erträge ausschließlich der öffentlichen Hand zustehen und nicht einzelnen Privatpersonen zugutekommen.</w:t>
      </w:r>
    </w:p>
    <w:p>
      <w:r>
        <w:t xml:space="preserve">(31) Steuerhoheitsgebiet ist ein Gebiet, das fiskalisch autonom ist, unabhängig davon, ob es völkerrechtlich als Staat anerkannt ist.</w:t>
      </w:r>
    </w:p>
    <w:p>
      <w:r>
        <w:t xml:space="preserve">(32) Transparente Einheit ist eine Einheit, soweit sie im Steuerhoheitsgebiet ihrer Gründung für steuerliche Zwecke transparent ist, es sei denn, sie ist in einem anderen Steuerhoheitsgebiet steuerlich belegen und unterliegt dort in Bezug auf ihre Erträge oder Gewinne einer erfassten Steuer. Eine Einheit wird steuerlich transparent behandelt, wenn die Erträge, Aufwendungen, Gewinne oder Verluste dieser Einheit nach dem Recht eines Steuerhoheitsgebiets so behandelt werden, als seien sie dem Gesellschafter der Einheit im Verhältnis zu dessen Kapitalbeteiligung an dieser Einheit entstanden. Eine transparente Einheit (getestete Einheit) gilt als</w:t>
      </w:r>
    </w:p>
    <w:p>
      <w:pPr>
        <w:ind w:left="420"/>
      </w:pPr>
      <w:r>
        <w:t xml:space="preserve">1. steuertransparente Einheit, soweit</w:t>
      </w:r>
    </w:p>
    <w:p>
      <w:pPr>
        <w:ind w:left="780"/>
      </w:pPr>
      <w:r>
        <w:t xml:space="preserve">a) sie und</w:t>
      </w:r>
    </w:p>
    <w:p>
      <w:pPr>
        <w:ind w:left="780"/>
      </w:pPr>
      <w:r>
        <w:t xml:space="preserve">b) bei mittelbarer Beteiligung jede dazwischengeschaltete Einheit</w:t>
      </w:r>
    </w:p>
    <w:p>
      <w:pPr>
        <w:ind w:left="420"/>
      </w:pPr>
      <w:r>
        <w:t xml:space="preserve">nach dem Recht des Belegenheitsstaats ihrer Referenzeinheit steuerlich transparent behandelt wird, oder</w:t>
      </w:r>
    </w:p>
    <w:p>
      <w:pPr>
        <w:ind w:left="420"/>
      </w:pPr>
      <w:r>
        <w:t xml:space="preserve">2. umgekehrt hybride Einheit, soweit</w:t>
      </w:r>
    </w:p>
    <w:p>
      <w:pPr>
        <w:ind w:left="780"/>
      </w:pPr>
      <w:r>
        <w:t xml:space="preserve">a) sie oder</w:t>
      </w:r>
    </w:p>
    <w:p>
      <w:pPr>
        <w:ind w:left="780"/>
      </w:pPr>
      <w:r>
        <w:t xml:space="preserve">b) bei mittelbarer Beteiligung sie oder eine dazwischengeschaltete Einheit</w:t>
      </w:r>
    </w:p>
    <w:p>
      <w:pPr>
        <w:ind w:left="420"/>
      </w:pPr>
      <w:r>
        <w:t xml:space="preserve">nach dem Recht des Belegenheitsstaats ihrer Referenzeinheit nicht steuerlich transparent behandelt wird.</w:t>
      </w:r>
    </w:p>
    <w:p>
      <w:r>
        <w:t xml:space="preserve">Referenzeinheit ist die Geschäftseinheit, die am nächsten in der Beteiligungskette an der getesteten Einheit beteiligt ist und die entweder</w:t>
      </w:r>
    </w:p>
    <w:p>
      <w:pPr>
        <w:ind w:left="420"/>
      </w:pPr>
      <w:r>
        <w:t xml:space="preserve">1. selbst keine transparente Einheit ist oder</w:t>
      </w:r>
    </w:p>
    <w:p>
      <w:pPr>
        <w:ind w:left="420"/>
      </w:pPr>
      <w:r>
        <w:t xml:space="preserve">2. wenn es keine solche Geschäftseinheit gibt, eine transparente Einheit ist, die selbst die oberste Muttergesellschaft der Unternehmensgruppe ist.</w:t>
      </w:r>
    </w:p>
    <w:p>
      <w:r>
        <w:t xml:space="preserve">Eine steuertransparente Struktur liegt vor, wenn eine Eigenkapitalbeteiligung an einer Geschäftseinheit über eine Kette von steuertransparenten Einheiten gehalten wird. Transparente Einheit und steuertransparente Einheit ist auch eine Geschäftseinheit, die nicht aufgrund des Orts ihrer Geschäftsleitung, ihres Gründungsorts oder vergleichbarer Kriterien steuerlich belegen ist und keiner erfassten Steuer oder keiner anerkannten nationalen Ergänzungssteuer unterliegt, soweit</w:t>
      </w:r>
    </w:p>
    <w:p>
      <w:pPr>
        <w:ind w:left="420"/>
      </w:pPr>
      <w:r>
        <w:t xml:space="preserve">1. ihre Gesellschafter in einem Steuerhoheitsgebiet belegen sind, das die Einheit als steuerlich transparent behandelt,</w:t>
      </w:r>
    </w:p>
    <w:p>
      <w:pPr>
        <w:ind w:left="420"/>
      </w:pPr>
      <w:r>
        <w:t xml:space="preserve">2. sie keine Geschäftsleitung im Steuerhoheitsgebiet ihrer Gründung hat und</w:t>
      </w:r>
    </w:p>
    <w:p>
      <w:pPr>
        <w:ind w:left="420"/>
      </w:pPr>
      <w:r>
        <w:t xml:space="preserve">3. die Erträge, Aufwendungen, Gewinne oder Verluste nicht einer Betriebsstätte zuzurechnen sind.</w:t>
      </w:r>
    </w:p>
    <w:p>
      <w:r>
        <w:t xml:space="preserve">Eine Einheit, die keine transparente Einheit ist, gilt als hybride Einheit, soweit sie im Belegenheitsstaat des unmittelbaren oder mittelbaren Gesellschafters als steuerlich transparent behandelt wird.</w:t>
      </w:r>
    </w:p>
    <w:p>
      <w:r>
        <w:t xml:space="preserve">(33) Unzulässige erstattungsfähige Anrechnungssteuer ist jeder Steuerbetrag, bei dem es sich nicht um eine zulässige Anrechnungssteuer handelt, der von einer Geschäftseinheit noch zu entrichten ist oder bereits entrichtet wurde und der</w:t>
      </w:r>
    </w:p>
    <w:p>
      <w:pPr>
        <w:ind w:left="420"/>
      </w:pPr>
      <w:r>
        <w:t xml:space="preserve">1. dem wirtschaftlichen Eigentümer einer von einer solchen Geschäftseinheit ausgeschütteten Dividende in Bezug auf diese Dividende erstattet werden kann oder vom wirtschaftlichen Eigentümer auf eine andere Steuerschuld als die Steuerschuld in Bezug auf diese Dividende angerechnet werden kann oder</w:t>
      </w:r>
    </w:p>
    <w:p>
      <w:pPr>
        <w:ind w:left="420"/>
      </w:pPr>
      <w:r>
        <w:t xml:space="preserve">2. dem ausschüttenden Unternehmen bei Ausschüttung einer Dividende erstattet werden kann.</w:t>
      </w:r>
    </w:p>
    <w:p>
      <w:r>
        <w:t xml:space="preserve">(33a) Eine Verbriefungsvereinbarung ist eine Vereinbarung, die</w:t>
      </w:r>
    </w:p>
    <w:p>
      <w:pPr>
        <w:ind w:left="420"/>
      </w:pPr>
      <w:r>
        <w:t xml:space="preserve">1. Vermögenswerte oder Risiken aus Vermögenswerten für Anleger, die keine Geschäftseinheiten der Unternehmensgruppe sind, so bündelt und strukturiert, dass eine oder mehrere Tranchen von Vermögenswerten rechtlich getrennt sind, und</w:t>
      </w:r>
    </w:p>
    <w:p>
      <w:pPr>
        <w:ind w:left="420"/>
      </w:pPr>
      <w:r>
        <w:t xml:space="preserve">2. dazu dient, das Insolvenzrisiko der Verbriefungszweckeinheit für die Anleger zu begrenzen, indem bestimmte Gläubiger der Verbriefungszweckeinheit oder einer anderen Verbriefungszweckeinheit der Verbriefungsvereinbarung durch vertragliche Vereinbarungen daran gehindert werden, Ansprüche gegenüber der Verbriefungszweckeinheit zu erheben.</w:t>
      </w:r>
    </w:p>
    <w:p>
      <w:r>
        <w:t xml:space="preserve">(33b) Verbriefungszweckeinheit ist eine Einheit, die an einer Verbriefungsvereinbarung beteiligt ist und die</w:t>
      </w:r>
    </w:p>
    <w:p>
      <w:pPr>
        <w:ind w:left="420"/>
      </w:pPr>
      <w:r>
        <w:t xml:space="preserve">1. ausschließlich Tätigkeiten zur Durchführung einer oder mehrerer Verbriefungsvereinbarungen ausübt,</w:t>
      </w:r>
    </w:p>
    <w:p>
      <w:pPr>
        <w:ind w:left="420"/>
      </w:pPr>
      <w:r>
        <w:t xml:space="preserve">2. ihren Gläubigern oder den Gläubigern einer anderen Verbriefungszweckeinheit Sicherheiten an ihren Vermögenswerten gewährt und</w:t>
      </w:r>
    </w:p>
    <w:p>
      <w:pPr>
        <w:ind w:left="420"/>
      </w:pPr>
      <w:r>
        <w:t xml:space="preserve">3. alle in Bezug auf ihre Vermögenswerte erhaltenen finanziellen Mittel jährlich oder häufiger an ihre Gläubiger oder die Gläubiger einer anderen Verbriefungszweckeinheit auskehrt; hiervon ausgenommen sind finanzielle Mittel, die gemäß Verbriefungsvereinbarung einzubehalten sind, um</w:t>
      </w:r>
    </w:p>
    <w:p>
      <w:pPr>
        <w:ind w:left="780"/>
      </w:pPr>
      <w:r>
        <w:t xml:space="preserve">a) einen festgelegten Gewinn zu erzielen, der an die Gesellschafter oder Berechtigen der Verbriefungszweckeinheit oder hiermit vergleichbare Personen ausgeschüttet werden soll,</w:t>
      </w:r>
    </w:p>
    <w:p>
      <w:pPr>
        <w:ind w:left="780"/>
      </w:pPr>
      <w:r>
        <w:t xml:space="preserve">b) Rückstellungen für künftige Zahlungsverpflichtungen in angemessener Höhe zu unterlegen oder</w:t>
      </w:r>
    </w:p>
    <w:p>
      <w:pPr>
        <w:ind w:left="780"/>
      </w:pPr>
      <w:r>
        <w:t xml:space="preserve">c) die Kreditwürdigkeit der Verbriefungszweckeinheit in angemessener Weise zu verbessern oder aufrechtzuerhalten.</w:t>
      </w:r>
    </w:p>
    <w:p>
      <w:r>
        <w:t xml:space="preserve">Eine Einheit ist für Zwecke dieses Gesetzes keine Verbriefungszweckeinheit, wenn der in Satz 1 Nummer 3 Buchstabe a genannte Gewinn für ein bestimmtes Geschäftsjahr im Verhältnis zum Umsatz der Einheit unwesentlich ist.</w:t>
      </w:r>
    </w:p>
    <w:p>
      <w:r>
        <w:t xml:space="preserve">(34) Versicherungsinvestmenteinheit ist eine Einheit, die die Voraussetzungen nach Absatz 15 oder Absatz 19 erfüllt, im Zusammenhang mit Schulden im Rahmen eines Versicherungs- oder Rentenversicherungsvertrags errichtet wurde und vollständig im Besitz eines den aufsichtsrechtlichen Bestimmungen des Belegenheitsstaats unterliegenden Versicherungsunternehmens steht.</w:t>
      </w:r>
    </w:p>
    <w:p>
      <w:r>
        <w:t xml:space="preserve">(35) Zulässige Anrechnungssteuer ist eine von einer Geschäftseinheit zu entrichtende oder entrichtete erfasste Steuer, die dem wirtschaftlichen Eigentümer einer von dieser Geschäftseinheit oder vom Stammhaus ausgeschütteten Dividende erstattet wird oder von diesem als Gutschrift angerechnet werden kann, sofern die Erstattung beziehungsweise Gutschrift</w:t>
      </w:r>
    </w:p>
    <w:p>
      <w:pPr>
        <w:ind w:left="420"/>
      </w:pPr>
      <w:r>
        <w:t xml:space="preserve">1. von einem anderen Steuerhoheitsgebiet als dem Steuerhoheitsgebiet, das die erfassten Steuern erhoben hat, gemäß einer Regelung zur Anrechnung ausländischer Steuern gewährt wird;</w:t>
      </w:r>
    </w:p>
    <w:p>
      <w:pPr>
        <w:ind w:left="420"/>
      </w:pPr>
      <w:r>
        <w:t xml:space="preserve">2. einem wirtschaftlichen Eigentümer der Dividende gewährt wird, der einem nominalen Steuersatz unterliegt, welcher dem nach dem innerstaatlichen Recht des Steuerhoheitsgebiets, das die erfassten Steuern bei der Geschäftseinheit erhoben hat, im Rahmen der laufenden Besteuerung auf diese Dividende erhobenen Mindeststeuersatz entspricht oder diesen übersteigt;</w:t>
      </w:r>
    </w:p>
    <w:p>
      <w:pPr>
        <w:ind w:left="420"/>
      </w:pPr>
      <w:r>
        <w:t xml:space="preserve">3. einem wirtschaftlichen Eigentümer der Dividende gewährt wird, der eine natürliche Person ist und in dem Steuerhoheitsgebiet ansässig ist, das die erfassten Steuern bei der Geschäftseinheit erhoben hat, und der im Hinblick auf die Dividende als ordentliches Einkommen der Besteuerung unterliegt oder</w:t>
      </w:r>
    </w:p>
    <w:p>
      <w:pPr>
        <w:ind w:left="420"/>
      </w:pPr>
      <w:r>
        <w:t xml:space="preserve">4. einer staatlichen Einheit, einer internationalen Organisation, einer gebietsansässigen Organisation ohne Erwerbszweck, einer gebietsansässigen Pensionseinheit, einer gebietsansässigen Investmenteinheit, die nicht der Unternehmensgruppe angehört, oder einer gebietsansässigen Lebensversicherungseinheit gewährt wird, sofern die Dividende im Zusammenhang mit Pensionseinheit-Tätigkeiten bezogen wird und in ähnlicher Weise besteuert wird wie eine von einer Pensionseinheit bezogene Dividende.</w:t>
      </w:r>
    </w:p>
    <w:p>
      <w:r>
        <w:t xml:space="preserve">Im Sinne von Nummer 4 gilt eine Organisation ohne Erwerbszweck oder eine Pensionseinheit als in einem Steuerhoheitsgebiet gebietsansässig, wenn sie in diesem Steuerhoheitsgebiet gegründet wurde und dort verwaltet wird, und gilt eine Investmenteinheit als in einem Steuerhoheitsgebiet gebietsansässig, wenn sie in dem Steuerhoheitsgebiet gegründet wurde und dort den aufsichtsrechtlichen Bestimmungen unterliegt. Eine Lebensversicherungseinheit gilt als in dem Steuerhoheitsgebiet gebietsansässig, in dem sie belegen ist.</w:t>
      </w:r>
    </w:p>
    <w:p>
      <w:r>
        <w:t xml:space="preserve">(36) Zulässiges Ausschüttungssteuersystem ist ein Körperschaftsteuersystem, das</w:t>
      </w:r>
    </w:p>
    <w:p>
      <w:pPr>
        <w:ind w:left="420"/>
      </w:pPr>
      <w:r>
        <w:t xml:space="preserve">1. eine Ertragsteuer beim Unternehmen vorsieht, die im Allgemeinen nur dann zu entrichten ist, wenn das Unternehmen Gewinne an die Gesellschafter ausschüttet, eine fiktive Gewinnausschüttung unterstellt wird oder wenn im Unternehmen bestimmte nicht geschäftsbezogene Aufwendungen anfallen,</w:t>
      </w:r>
    </w:p>
    <w:p>
      <w:pPr>
        <w:ind w:left="420"/>
      </w:pPr>
      <w:r>
        <w:t xml:space="preserve">2. eine Steuer mindestens in Höhe des Mindeststeuersatzes vorsieht und</w:t>
      </w:r>
    </w:p>
    <w:p>
      <w:pPr>
        <w:ind w:left="420"/>
      </w:pPr>
      <w:r>
        <w:t xml:space="preserve">3. am oder vor dem 1. Juli 2021 in Kraft getreten ist.</w:t>
      </w:r>
    </w:p>
    <w:p>
      <w:r>
        <w:t xml:space="preserve">(37) Zugelassener Rechnungslegungsstandard sind die allgemein anerkannten Rechnungslegungsgrundsätze, die von einem zugelassenen Standardsetzer im Belegenheitsstaat der Einheit genehmigt wurden.</w:t>
      </w:r>
    </w:p>
    <w:p>
      <w:r>
        <w:t xml:space="preserve">(38) Zugelassener Standardsetzer ist die Stelle, die in einem Steuerhoheitsgebiet rechtlich befugt ist, Rechnungslegungsstandards für Zwecke der Finanzberichterstattung vorzuschreiben, festzulegen oder zu genehmigen.</w:t>
      </w:r>
    </w:p>
    <w:p>
      <w:r>
        <w:rPr>
          <w:color w:val="555555"/>
          <w:sz w:val="17"/>
        </w:rPr>
        <w:t xml:space="preserve">Zitiervorschlag: § 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