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MinStG — Ermittlung des substanzbasierten Freibetrags in einem Übergangszeitraum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(1) Für die Zwecke der Anwendung der §§ 58 und 59 gilt anstelle des Werts von 5 Prozent für jedes Geschäftsjahr, das in einem der folgenden Kalenderjahre beginnt, folgender Wert:</w:t>
      </w:r>
    </w:p>
    <w:p>
      <w:r>
        <w:rPr>
          <w:rFonts w:ascii="Courier New" w:hAnsi="Courier New"/>
          <w:sz w:val="17"/>
        </w:rPr>
        <w:t xml:space="preserve">Geschäftsjahr beginnt im Kalenderjahr    Prozentsatz für § 58</w:t>
      </w:r>
    </w:p>
    <w:p>
      <w:r>
        <w:rPr>
          <w:rFonts w:ascii="Courier New" w:hAnsi="Courier New"/>
          <w:sz w:val="17"/>
        </w:rPr>
        <w:t xml:space="preserve">2023    10</w:t>
      </w:r>
    </w:p>
    <w:p>
      <w:r>
        <w:rPr>
          <w:rFonts w:ascii="Courier New" w:hAnsi="Courier New"/>
          <w:sz w:val="17"/>
        </w:rPr>
        <w:t xml:space="preserve">2024    9,8</w:t>
      </w:r>
    </w:p>
    <w:p>
      <w:r>
        <w:rPr>
          <w:rFonts w:ascii="Courier New" w:hAnsi="Courier New"/>
          <w:sz w:val="17"/>
        </w:rPr>
        <w:t xml:space="preserve">2025    9,6</w:t>
      </w:r>
    </w:p>
    <w:p>
      <w:r>
        <w:rPr>
          <w:rFonts w:ascii="Courier New" w:hAnsi="Courier New"/>
          <w:sz w:val="17"/>
        </w:rPr>
        <w:t xml:space="preserve">2026    9,4</w:t>
      </w:r>
    </w:p>
    <w:p>
      <w:r>
        <w:rPr>
          <w:rFonts w:ascii="Courier New" w:hAnsi="Courier New"/>
          <w:sz w:val="17"/>
        </w:rPr>
        <w:t xml:space="preserve">2027    9,2</w:t>
      </w:r>
    </w:p>
    <w:p>
      <w:r>
        <w:rPr>
          <w:rFonts w:ascii="Courier New" w:hAnsi="Courier New"/>
          <w:sz w:val="17"/>
        </w:rPr>
        <w:t xml:space="preserve">2028    9,0</w:t>
      </w:r>
    </w:p>
    <w:p>
      <w:r>
        <w:rPr>
          <w:rFonts w:ascii="Courier New" w:hAnsi="Courier New"/>
          <w:sz w:val="17"/>
        </w:rPr>
        <w:t xml:space="preserve">2029    8,2</w:t>
      </w:r>
    </w:p>
    <w:p>
      <w:r>
        <w:rPr>
          <w:rFonts w:ascii="Courier New" w:hAnsi="Courier New"/>
          <w:sz w:val="17"/>
        </w:rPr>
        <w:t xml:space="preserve">2030    7,4</w:t>
      </w:r>
    </w:p>
    <w:p>
      <w:r>
        <w:rPr>
          <w:rFonts w:ascii="Courier New" w:hAnsi="Courier New"/>
          <w:sz w:val="17"/>
        </w:rPr>
        <w:t xml:space="preserve">2031    6,6</w:t>
      </w:r>
    </w:p>
    <w:p>
      <w:r>
        <w:rPr>
          <w:rFonts w:ascii="Courier New" w:hAnsi="Courier New"/>
          <w:sz w:val="17"/>
        </w:rPr>
        <w:t xml:space="preserve">2032    5,8</w:t>
      </w:r>
    </w:p>
    <w:p>
      <w:r>
        <w:t xml:space="preserve">(2) Für die Zwecke der Anwendung der §§ 58 und 60 gilt anstelle des Werts von 5 Prozent für jedes Geschäftsjahr, das in einem der folgenden Kalenderjahre beginnt, folgender Wert:</w:t>
      </w:r>
    </w:p>
    <w:p>
      <w:r>
        <w:rPr>
          <w:rFonts w:ascii="Courier New" w:hAnsi="Courier New"/>
          <w:sz w:val="17"/>
        </w:rPr>
        <w:t xml:space="preserve">Geschäftsjahr beginnt im Kalenderjahr    Prozentsatz für § 58</w:t>
      </w:r>
    </w:p>
    <w:p>
      <w:r>
        <w:rPr>
          <w:rFonts w:ascii="Courier New" w:hAnsi="Courier New"/>
          <w:sz w:val="17"/>
        </w:rPr>
        <w:t xml:space="preserve">2023    8,0</w:t>
      </w:r>
    </w:p>
    <w:p>
      <w:r>
        <w:rPr>
          <w:rFonts w:ascii="Courier New" w:hAnsi="Courier New"/>
          <w:sz w:val="17"/>
        </w:rPr>
        <w:t xml:space="preserve">2024    7,8</w:t>
      </w:r>
    </w:p>
    <w:p>
      <w:r>
        <w:rPr>
          <w:rFonts w:ascii="Courier New" w:hAnsi="Courier New"/>
          <w:sz w:val="17"/>
        </w:rPr>
        <w:t xml:space="preserve">2025    7,6</w:t>
      </w:r>
    </w:p>
    <w:p>
      <w:r>
        <w:rPr>
          <w:rFonts w:ascii="Courier New" w:hAnsi="Courier New"/>
          <w:sz w:val="17"/>
        </w:rPr>
        <w:t xml:space="preserve">2026    7,4</w:t>
      </w:r>
    </w:p>
    <w:p>
      <w:r>
        <w:rPr>
          <w:rFonts w:ascii="Courier New" w:hAnsi="Courier New"/>
          <w:sz w:val="17"/>
        </w:rPr>
        <w:t xml:space="preserve">2027    7,2</w:t>
      </w:r>
    </w:p>
    <w:p>
      <w:r>
        <w:rPr>
          <w:rFonts w:ascii="Courier New" w:hAnsi="Courier New"/>
          <w:sz w:val="17"/>
        </w:rPr>
        <w:t xml:space="preserve">2028    7,0</w:t>
      </w:r>
    </w:p>
    <w:p>
      <w:r>
        <w:rPr>
          <w:rFonts w:ascii="Courier New" w:hAnsi="Courier New"/>
          <w:sz w:val="17"/>
        </w:rPr>
        <w:t xml:space="preserve">2029    6,6</w:t>
      </w:r>
    </w:p>
    <w:p>
      <w:r>
        <w:rPr>
          <w:rFonts w:ascii="Courier New" w:hAnsi="Courier New"/>
          <w:sz w:val="17"/>
        </w:rPr>
        <w:t xml:space="preserve">2030    6,2</w:t>
      </w:r>
    </w:p>
    <w:p>
      <w:r>
        <w:rPr>
          <w:rFonts w:ascii="Courier New" w:hAnsi="Courier New"/>
          <w:sz w:val="17"/>
        </w:rPr>
        <w:t xml:space="preserve">2031    5,8</w:t>
      </w:r>
    </w:p>
    <w:p>
      <w:r>
        <w:rPr>
          <w:rFonts w:ascii="Courier New" w:hAnsi="Courier New"/>
          <w:sz w:val="17"/>
        </w:rPr>
        <w:t xml:space="preserve">2032    5,4</w:t>
      </w:r>
    </w:p>
    <w:p>
      <w:r>
        <w:rPr>
          <w:color w:val="555555"/>
          <w:sz w:val="17"/>
        </w:rPr>
        <w:t xml:space="preserve">Zitiervorschlag: § 62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