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MinStG — Anwendung des substanzbasierten Freibetrags in Sonderfällen</w:t>
      </w:r>
    </w:p>
    <w:p>
      <w:r>
        <w:rPr>
          <w:color w:val="555555"/>
          <w:sz w:val="18"/>
        </w:rPr>
        <w:t xml:space="preserve">Mindeststeuergesetz</w:t>
      </w:r>
    </w:p>
    <w:p>
      <w:r>
        <w:rPr>
          <w:color w:val="555555"/>
          <w:sz w:val="18"/>
        </w:rPr>
        <w:t xml:space="preserve">Stand: 28.12.2023 (konsolidierte Textfassung, kein amtliches Inkrafttretensdatum)</w:t>
      </w:r>
    </w:p>
    <w:p>
      <w:r>
        <w:t xml:space="preserve">(1) Die §§ 59 und 60 sind auf Betriebsstätten entsprechend anzuwenden. Dabei richten sich die maßgeblichen Werte nach der Rechnungslegung der Betriebsstätte nach § 42. Die berücksichtigungsfähigen Lohnkosten und die berücksichtigungsfähigen materiellen Vermögenswerte einer Betriebsstätte nach Satz 1 sind im gleichen Verhältnis auszunehmen, zu dem die Beträge nach § 42 Absatz 1 und § 69 Absatz 3 ganz oder teilweise bei der Ermittlung des Mindeststeuer-Jahresüberschusses oder Mindeststeuer-Jahresfehlbetrags auszunehmen sind. Die bei der Betriebstätte berücksichtigten Werte sind beim Stammhaus nicht erneut zu berücksichtigen.</w:t>
      </w:r>
    </w:p>
    <w:p>
      <w:r>
        <w:t xml:space="preserve">(2) Die berücksichtigungsfähigen Lohnkosten und berücksichtigungsfähigen materiellen Vermögenswerte, die keiner Betriebsstätte nach Absatz 1 zuzuordnen sind, sind bei transparenten Einheiten wie folgt zuzuordnen:</w:t>
      </w:r>
    </w:p>
    <w:p>
      <w:pPr>
        <w:ind w:left="420"/>
      </w:pPr>
      <w:r>
        <w:t xml:space="preserve">1. sofern die Einheit keine oberste Muttergesellschaft ist, den gruppenzugehörigen Gesellschaftern entsprechend ihrer jeweiligen Eigenkapitalbeteiligung, vorausgesetzt, die berücksichtigungsfähigen Beschäftigten und berücksichtigungsfähigen materiellen Vermögenswerte sind im gleichen Steuerhoheitsgebiet belegen wie die jeweiligen gruppenzugehörigen Gesellschafter,</w:t>
      </w:r>
    </w:p>
    <w:p>
      <w:pPr>
        <w:ind w:left="420"/>
      </w:pPr>
      <w:r>
        <w:t xml:space="preserve">2. sofern die Einheit oberste Muttergesellschaft ist, dieser Einheit, soweit die berücksichtigungsfähigen Beschäftigten und berücksichtigungsfähigen materiellen Vermögenswerte im gleichen Steuerhoheitsgebiet wie die oberste Muttergesellschaft belegen sind, vermindert um den Anteil, zu dem Beträge nach § 69 bei der Ermittlung des Mindeststeuer-Jahresüberschusses oder Mindeststeuer-Jahresfehlbetrags auszunehmen sind.</w:t>
      </w:r>
    </w:p>
    <w:p>
      <w:r>
        <w:t xml:space="preserve">Alle berücksichtigungsfähigen Lohnkosten und berücksichtigungsfähigen materiellen Vermögenswerte, die nicht nach Satz 1 zugeordnet werden können, sind bei der Ermittlung des substanzbasierten Freibetrags nicht zu berücksichtigen.</w:t>
      </w:r>
    </w:p>
    <w:p>
      <w:r>
        <w:rPr>
          <w:color w:val="555555"/>
          <w:sz w:val="17"/>
        </w:rPr>
        <w:t xml:space="preserve">Zitiervorschlag: § 61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