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MinStG — Ermittlung des substanzbasierten Freibetrags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24.01.2024 (konsolidierte Textfassung, kein amtliches Inkrafttretensdatum)</w:t>
      </w:r>
    </w:p>
    <w:p>
      <w:r>
        <w:t xml:space="preserve">(1) Der substanzbasierte Freibetrag für alle in einem Steuerhoheitsgebiet belegenen Geschäftseinheiten, ausgenommen von Investmenteinheiten, beträgt:</w:t>
      </w:r>
    </w:p>
    <w:p>
      <w:r>
        <w:rPr>
          <w:rFonts w:ascii="Courier New" w:hAnsi="Courier New"/>
          <w:sz w:val="17"/>
        </w:rPr>
        <w:t xml:space="preserve">5 % x berücksichtigungsfähige Lohnkosten für berücksichtigungsfähige Beschäftigte+ 5 % x berücksichtigungsfähige materielle Vermögenswerte</w:t>
      </w:r>
    </w:p>
    <w:p>
      <w:r>
        <w:t xml:space="preserve">(2) Auf Antrag der berichtspflichtigen Geschäftseinheit kann für jedes Geschäftsjahr auf den Ansatz und die Ermittlung des substanzbasierten Freibetrags nach Absatz 1 verzichtet werden.</w:t>
      </w:r>
    </w:p>
    <w:p>
      <w:r>
        <w:rPr>
          <w:color w:val="555555"/>
          <w:sz w:val="17"/>
        </w:rPr>
        <w:t xml:space="preserve">Zitiervorschlag: § 58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