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MinStG — Wesentlichkeitsgrenze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Auf Antrag der berichtspflichtigen Geschäftseinheit kann der Steuererhöhungsbetrag jährlich abweichend von § 54 für in demselben Steuerhoheitsgebiet belegene Geschäftseinheiten mit null angesetzt werden, wenn für das Geschäftsjahr und die zwei vorangegangenen Geschäftsjahre</w:t>
      </w:r>
    </w:p>
    <w:p>
      <w:pPr>
        <w:ind w:left="420"/>
      </w:pPr>
      <w:r>
        <w:t xml:space="preserve">1. der durchschnittliche Mindeststeuer-Gesamtumsatz aller in dem Steuerhoheitsgebiet belegenen Geschäftseinheiten weniger als 10 Millionen Euro beträgt und</w:t>
      </w:r>
    </w:p>
    <w:p>
      <w:pPr>
        <w:ind w:left="420"/>
      </w:pPr>
      <w:r>
        <w:t xml:space="preserve">2. der durchschnittliche Mindeststeuer-Gesamtgewinn oder Mindeststeuer-Gesamtverlust weniger als 1 Million Euro beträgt.</w:t>
      </w:r>
    </w:p>
    <w:p>
      <w:r>
        <w:t xml:space="preserve">Für den Fall, dass in einem der zwei dem Geschäftsjahr vorangegangenen Geschäftsjahre keine Geschäftseinheiten in dem Steuerhoheitsgebiet belegen waren, ist das jeweilige Geschäftsjahr bei der Durchschnittsbildung nach Satz 1 nicht zu berücksichtigen.</w:t>
      </w:r>
    </w:p>
    <w:p>
      <w:r>
        <w:t xml:space="preserve">(2) Absatz 1 gilt nicht für staatenlose Geschäftseinheiten oder Investmenteinheiten.</w:t>
      </w:r>
    </w:p>
    <w:p>
      <w:r>
        <w:t xml:space="preserve">(3) Bei dem durchschnittlichen Mindeststeuer-Gesamtumsatz beziehungsweise dem durchschnittlichen Mindeststeuer-Gesamtgewinn oder Mindeststeuer-Gesamtverlust handelt es sich um den Durchschnitt des in diesem Steuerhoheitsgebiet verzeichneten Mindeststeuer-Umsatzes beziehungsweise des Mindeststeuer-Gewinns oder Mindeststeuer-Verlusts für das laufende und die zwei vorangegangenen Geschäftsjahre. Der Mindeststeuer-Gesamtumsatz eines Steuerhoheitsgebiets für ein Geschäftsjahr entspricht der Summe der Mindeststeuer-Umsätze aller in dem Steuerhoheitsgebiet belegenen Geschäftseinheiten für dieses Geschäftsjahr unter Berücksichtigung der nach Teil 3 berechneten Anpassungen.</w:t>
      </w:r>
    </w:p>
    <w:p>
      <w:r>
        <w:rPr>
          <w:color w:val="555555"/>
          <w:sz w:val="17"/>
        </w:rPr>
        <w:t xml:space="preserve">Zitiervorschlag: § 56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