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MinStG — Mindeststeuer-Verlustwahlrecht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Auf Antrag der berichtspflichtigen Geschäftseinheit kann mit Abgabe des ersten Mindeststeuer-Berichts für ein Steuerhoheitsgebiet von der Anwendung des § 50 abgesehen werden. Für jedes Geschäftsjahr, in dem für ein Steuerhoheitsgebiet ein Mindeststeuer-Verlust vorliegt, wird ein latenter Steueranspruch in folgender Höhe angesetzt: Latenter Steueranspruch = Mindeststeuer-Gesamtverlust x Mindeststeuersatz</w:t>
      </w:r>
    </w:p>
    <w:p>
      <w:r>
        <w:t xml:space="preserve">(2) Der latente Steueranspruch ist in nachfolgende Geschäftsjahre vorzutragen und in jedem dieser nachfolgenden Geschäftsjahre, in denen sich ein Mindeststeuer-Gesamtgewinn nach Teil 5 dieses Gesetzes ergibt, um folgenden Betrag aufzulösen, höchstens jedoch in Höhe des Betrags des latenten Steueranspruchs nach Absatz 1: Auflösungsbetrag = Mindeststeuer-Gesamtgewinn x Mindeststeuersatz</w:t>
      </w:r>
    </w:p>
    <w:p>
      <w:r>
        <w:t xml:space="preserve">(3) In dem Geschäftsjahr, in dem die Inanspruchnahme des Wahlrechts nach Absatz 1 widerrufen wird, ist der latente Steueranspruch aufzulösen. Die erstmalige Anwendung des § 50 in einem Geschäftsjahr gilt als Widerruf nach Satz 1.</w:t>
      </w:r>
    </w:p>
    <w:p>
      <w:r>
        <w:t xml:space="preserve">(4) Absatz 1 gilt nicht für ein Steuerhoheitsgebiet mit einem zulässigen Ausschüttungssteuersystem. Für den Fall, dass die oberste Muttergesellschaft eine transparente Einheit ist, gelten Satz 1 und die Absätze 1 bis 3 für den Mindeststeuer-Verlust der transparenten Einheit, der sich nach Anwendung des § 69 Absatz 2 ergibt, entsprechend. Sofern die Voraussetzungen nach § 83 oder nach den §§ 84 bis 87 erfüllt sind und die Unternehmensgruppe den CbCR-Safe-Harbour tatsächlich anwendet, verschiebt sich die Anwendung des Mindeststeuer-Verlustwahlrechts entsprechend.</w:t>
      </w:r>
    </w:p>
    <w:p>
      <w:r>
        <w:rPr>
          <w:color w:val="555555"/>
          <w:sz w:val="17"/>
        </w:rPr>
        <w:t xml:space="preserve">Zitiervorschlag: § 51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