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50a MinStG — Nachversteuerung latenter Steuerschulden</w:t>
      </w:r>
    </w:p>
    <w:p>
      <w:r>
        <w:rPr>
          <w:color w:val="555555"/>
          <w:sz w:val="18"/>
        </w:rPr>
        <w:t xml:space="preserve">Mindeststeuergesetz</w:t>
      </w:r>
    </w:p>
    <w:p>
      <w:r>
        <w:rPr>
          <w:color w:val="555555"/>
          <w:sz w:val="18"/>
        </w:rPr>
        <w:t xml:space="preserve">Stand: 03.01.2026 (konsolidierte Textfassung, kein amtliches Inkrafttretensdatum)</w:t>
      </w:r>
    </w:p>
    <w:p>
      <w:r>
        <w:t xml:space="preserve">(1) Eine latente Steuerschuld, die nach § 50 Absatz 1 berücksichtigt und weder nach Absatz 7 von der Nachversteuerung ausgenommen noch bis zum Ende des fünften Geschäftsjahres (laufendes Geschäftsjahr) des dem der Berücksichtigung folgenden Geschäftsjahres (getestetes Geschäftsjahr) wieder aufgelöst worden ist, ist nach den folgenden Bestimmungen nachzuversteuern (Nachversteuerungsbetrag): Der Nachversteuerungsbetrag des laufenden Geschäftsjahres ist für Zwecke der Nachversteuerung als Minderung der erfassten Steuern des getesteten Geschäftsjahres zu behandeln und der effektive Steuersatz sowie der Steuererhöhungsbetrag dieses Geschäftsjahres sind nach § 57 zu ermitteln. Der Nachversteuerungsbetrag des laufenden Geschäftsjahres entspricht der Differenz zwischen dem Betrag, mit dem die latente Steuerschuld in den Gesamtbetrag nach § 50 Absatz 1 im getesteten Geschäftsjahr einbezogen worden ist, und dem Betrag, der nicht bis zum letzten Tag des laufenden Geschäftsjahres wieder aufgelöst worden ist.</w:t>
      </w:r>
    </w:p>
    <w:p>
      <w:r>
        <w:t xml:space="preserve">(2) Abweichend von Absatz 1 kann eine Geschäftseinheit für die Ermittlung des Nachversteuerungsbetrags sämtliche latente Steuerschulden zusammenfassen, die Vermögensgegenstände oder Schulden betreffen, die im selben Sachkonto erfasst sind (Nachversteuerungsgruppe I). Eine Geschäftseinheit kann mehrere Nachversteuerungsgruppen I zusammenfassen (Nachversteuerungsgruppe II), wenn</w:t>
      </w:r>
    </w:p>
    <w:p>
      <w:pPr>
        <w:ind w:left="420"/>
      </w:pPr>
      <w:r>
        <w:t xml:space="preserve">1. die Sachkonten gemäß dem im Konzernabschluss verwendeten Kontenplan demselben Bilanzposten zuzuordnen sind, der für die Ermittlung des Mindeststeuer-Jahresüberschusses oder Mindeststeuer-Jahresfehlbetrags zugrunde zu legen ist,</w:t>
      </w:r>
    </w:p>
    <w:p>
      <w:pPr>
        <w:ind w:left="420"/>
      </w:pPr>
      <w:r>
        <w:t xml:space="preserve">2. das einzelne Sachkonto insgesamt zu keinem latenten Steueranspruch führen kann und</w:t>
      </w:r>
    </w:p>
    <w:p>
      <w:pPr>
        <w:ind w:left="420"/>
      </w:pPr>
      <w:r>
        <w:t xml:space="preserve">3. die latenten Steuerschulden nicht folgende Vermögensgegenstände oder Schulden betreffen:</w:t>
      </w:r>
    </w:p>
    <w:p>
      <w:pPr>
        <w:ind w:left="780"/>
      </w:pPr>
      <w:r>
        <w:t xml:space="preserve">a) nicht abnutzbare immaterielle Vermögenswerte, einschließlich eines Geschäfts- oder Firmenwerts,</w:t>
      </w:r>
    </w:p>
    <w:p>
      <w:pPr>
        <w:ind w:left="780"/>
      </w:pPr>
      <w:r>
        <w:t xml:space="preserve">b) abnutzbare immaterielle Vermögenswerte mit einer Nutzungsdauer von mehr als fünf Jahren,</w:t>
      </w:r>
    </w:p>
    <w:p>
      <w:pPr>
        <w:ind w:left="780"/>
      </w:pPr>
      <w:r>
        <w:t xml:space="preserve">c) Forderungen und Verbindlichkeiten gegenüber verbundenen Unternehmen.</w:t>
      </w:r>
    </w:p>
    <w:p>
      <w:r>
        <w:t xml:space="preserve">Latente Steuerschulden in Bezug auf Posten, die nach den Vorschriften des dritten Teils bei der Ermittlung des Mindeststeuer-Gewinns oder Mindeststeuer-Verlusts auszunehmen sind oder ausgenommen werden, dürfen nicht nach den Sätzen 1 oder 2 zusammengefasst werden. Auf zusammengefasste latente Steuerschulden ist Absatz 7 nicht anzuwenden; dies gilt nicht, wenn ausschließlich latente Steuerschulden zusammengefasst werden, die nach Absatz 7 von der Nachversteuerung auszunehmen sind. Latente Steuerschulden nach § 82 Absatz 1 sind den Nachversteuerungsgruppen nach wirtschaftlichem Zusammenhang zuzuordnen (latente Steuerschulden aus Vor-Übergangsjahren).</w:t>
      </w:r>
    </w:p>
    <w:p>
      <w:r>
        <w:t xml:space="preserve">(3) Für zusammengefasste latente Steuerschulden einer Nachversteuerungsgruppe ist als Nachversteuerungsbetrag nach Absatz 1 die positive Nachversteuerungsjahresdifferenz anzusetzen. Eine negative Nachversteuerungsjahresdifferenz ist als Erhöhung des Gesamtbetrags der angepassten latenten Steuern nach § 50 Absatz 2 Nummer 2 zu behandeln. Die Nachversteuerungsjahresdifferenz ist die Differenz zwischen der Nachversteuerungsdifferenz des aktuellen und des vorangegangenen Geschäftsjahres. Die Nachversteuerungsdifferenz des Geschäftsjahres ist der Saldo der Erhöhungen und Minderungen der zusammengefassten latenten Steuerschulden seit ihrer erstmaligen Erfassung in der Nachversteuerungsgruppe (Nachversteuerungssaldo) abzüglich des maximal gerechtfertigten Betrags. Der maximal gerechtfertigte Betrag ist die Differenz zwischen den Erhöhungen und Minderungen der latenten Steuerschulden des aktuellen Geschäftsjahres sowie der vier vorangegangenen Geschäftsjahre (Differenzmethode); er kann nicht negativ werden. Soweit einer Nachversteuerungsgruppe latente Steuerschulden aus Vor-Übergangsjahren zuzuordnen sind, bleiben ein negativer Betrag des Nachversteuerungssaldos und der jährlichen Minderungen bis zur Höhe dieser latenten Steuerschulden aus Vor-Übergangsjahren außer Betracht. Der nach Satz 6 anzusetzende Betrag latenter Steuerschulden aus Vor-Übergangsjahren verringert sich um in den vorangegangenen Geschäftsjahren bereits berücksichtigte Beträge latenter Steuerschulden aus Vor-Übergangsjahren sowie in den Fällen des § 50 Absatz 5 Nummer 2 um Minderungen der latenten Steuerschulden einer Nachversteuerungsgruppe, die vorrangig latenten Steuerschulden aus Vor-Übergangsjahren zuzuordnen sind. Abweichend von Satz 5 kann als maximal gerechtfertigter Betrag die Summe der Erhöhungen der latenten Steuerschulden des aktuellen Geschäftsjahres sowie der vier vorangegangenen Geschäftsjahre angesetzt werden (Summenmethode); er kann nicht negativ werden. Die Summenmethode ist bei einer Nachversteuerungsgruppe II nur zulässig, wenn die Geschäftseinheit nachweist, dass</w:t>
      </w:r>
    </w:p>
    <w:p>
      <w:pPr>
        <w:ind w:left="420"/>
      </w:pPr>
      <w:r>
        <w:t xml:space="preserve">1. die in der Nachversteuerungsgruppe II zusammengefassten latenten Steuerschulden einen ähnlichen Umkehrtrend haben oder</w:t>
      </w:r>
    </w:p>
    <w:p>
      <w:pPr>
        <w:ind w:left="420"/>
      </w:pPr>
      <w:r>
        <w:t xml:space="preserve">2. die in der Nachversteuerungsgruppe II zusammengefassten latenten Steuerschulden keinen ähnlichen Umkehrtrend haben oder ihr Umkehrtrend sich über einen Zeitraum von mehr als fünf Jahren erstreckt und es entsprechend den Grundsätzen des Absatzes 1 zu einer angemessenen Nachversteuerung dieser latenten Steuerschulden kommt.</w:t>
      </w:r>
    </w:p>
    <w:p>
      <w:r>
        <w:t xml:space="preserve">Ein ähnlicher Umkehrtrend liegt vor, wenn die latenten Steuerschulden in höchstens einem Abstand von zwei Geschäftsjahren aufgelöst werden. Bei Anwendung der Summenmethode bleiben abweichend von Satz 7 Minderungen bei der Ermittlung des Nachversteuerungssaldos bis zur Höhe der in der Nachversteuerungsgruppe zusammengefassten latenten Steuerschulden aus Vor-Übergangsjahren außer Betracht; Satz 8 gilt entsprechend. Ist ein Nachversteuerungsbetrag nach diesem Absatz für zusammengefasste latente Steuerschulden zu ermitteln, die in vorangegangenen Geschäftsjahren aufgrund von § 50 Absatz 5 nicht nach § 50 Absatz 1 einbezogen wurden, sind diese den betreffenden Nachversteuerungsgruppen zuzuordnen und als latente Steuerschulden aus Vor-Übergangsjahren zu behandeln.</w:t>
      </w:r>
    </w:p>
    <w:p>
      <w:r>
        <w:t xml:space="preserve">(4) Die Ermittlung eines Nachversteuerungsbetrags kann für sämtliche latenten Steuerschulden einer Nachversteuerungsgruppe unterbleiben, wenn die Geschäftseinheit anhand objektiver Umstände darlegen kann, dass die latenten Steuerschulden bis zum Ende des fünften Geschäftsjahres des dem der Berücksichtigung folgenden Geschäftsjahres voraussichtlich aufgelöst sein werden. Im Fall des Satzes 1 können latente Steueransprüche in diese Nachversteuerungsgruppe einbezogen werden. Ist aufgrund einer wesentlichen Änderung der objektiven Umstände nicht mehr davon auszugehen, dass diese latenten Steuerschulden im Zeitraum nach Satz 1 aufgelöst sein werden, gilt Absatz 3 ab dem Geschäftsjahr, in dem diese Änderung eingetreten ist. Absatz 3 Satz 12 gilt entsprechend.</w:t>
      </w:r>
    </w:p>
    <w:p>
      <w:r>
        <w:t xml:space="preserve">(5) Werden latente Steuerschulden von der Geschäftseinheit nicht mehr oder abweichend von den vorangegangenen Geschäftsjahren neu nach Maßgabe des Absatzes 2 zusammengefasst, ist der Betrag der Nachversteuerungsattribute der bisherigen Nachversteuerungsgruppe zu ermitteln und sachgerecht auf die einzelnen latenten Steuerschulden oder die neu gebildeten Nachversteuerungsgruppen zu verteilen. Die Nachversteuerungsattribute sind:</w:t>
      </w:r>
    </w:p>
    <w:p>
      <w:pPr>
        <w:ind w:left="420"/>
      </w:pPr>
      <w:r>
        <w:t xml:space="preserve">1. die Nachversteuerungsdifferenz des aktuellen Geschäftsjahres,</w:t>
      </w:r>
    </w:p>
    <w:p>
      <w:pPr>
        <w:ind w:left="420"/>
      </w:pPr>
      <w:r>
        <w:t xml:space="preserve">2. der Nachversteuerungssaldo,</w:t>
      </w:r>
    </w:p>
    <w:p>
      <w:pPr>
        <w:ind w:left="420"/>
      </w:pPr>
      <w:r>
        <w:t xml:space="preserve">3. der Betrag der noch nicht umgekehrten latenten Steuerschulden aus Vor-Übergangsjahren sowie diesen gleichstehende latente Steuerschulden und</w:t>
      </w:r>
    </w:p>
    <w:p>
      <w:pPr>
        <w:ind w:left="420"/>
      </w:pPr>
      <w:r>
        <w:t xml:space="preserve">4. die Erhöhungen des Nachversteuerungssaldos während des fünfjährigen Zeitraums vor der Anwendung des Satzes 1.</w:t>
      </w:r>
    </w:p>
    <w:p>
      <w:r>
        <w:t xml:space="preserve">(6) Latente Steuerschulden der Nachversteuerungsgruppe II dürfen nach § 50 Absatz 1 nur berücksichtigt werden, wenn die Geschäftseinheit das Vorliegen der Voraussetzungen des Absatzes 2 Satz 2 oder des Absatzes 4 nachweist. Sind latente Steuerschulden nach Satz 1 nicht zu berücksichtigen und kann die Veranlagung für den Besteuerungszeitraum, in dem sie angefallen sind, nicht mehr geändert werden, sind die erfassten Steuern entsprechend § 52 nachträglich anzupassen. Absatz 3 Satz 11 gilt entsprechend.</w:t>
      </w:r>
    </w:p>
    <w:p>
      <w:r>
        <w:t xml:space="preserve">(7) Von der Nachversteuerung nach den vorherstehenden Absätzen sind latente Steuerschulden in Bezug auf folgende Kategorien ausgenommen:</w:t>
      </w:r>
    </w:p>
    <w:p>
      <w:pPr>
        <w:ind w:left="420"/>
      </w:pPr>
      <w:r>
        <w:t xml:space="preserve">1. Abschreibungen auf materielle Vermögenswerte und auf Nutzungsrechte an diesen einschließlich Abschreibungen auf Forderungen eines Leasinggebers für überlassene materielle Vermögenswerte,</w:t>
      </w:r>
    </w:p>
    <w:p>
      <w:pPr>
        <w:ind w:left="420"/>
      </w:pPr>
      <w:r>
        <w:t xml:space="preserve">2. Kosten einer staatlichen Lizenz oder einer ähnlichen Regelung für die Nutzung von unbeweglichem Vermögen oder natürlichen Ressourcen, die mit erheblichen Investitionen in materielle Vermögenswerte verbunden sind,</w:t>
      </w:r>
    </w:p>
    <w:p>
      <w:pPr>
        <w:ind w:left="420"/>
      </w:pPr>
      <w:r>
        <w:t xml:space="preserve">3. Forschungs- und Entwicklungsaufwendungen,</w:t>
      </w:r>
    </w:p>
    <w:p>
      <w:pPr>
        <w:ind w:left="420"/>
      </w:pPr>
      <w:r>
        <w:t xml:space="preserve">4. Stilllegungs- und Sanierungsaufwendungen,</w:t>
      </w:r>
    </w:p>
    <w:p>
      <w:pPr>
        <w:ind w:left="420"/>
      </w:pPr>
      <w:r>
        <w:t xml:space="preserve">5. Zeitwertbilanzierung nicht realisierter Nettogewinne, sofern nicht die Realisationsmethode nach § 35 anzuwenden ist,</w:t>
      </w:r>
    </w:p>
    <w:p>
      <w:pPr>
        <w:ind w:left="420"/>
      </w:pPr>
      <w:r>
        <w:t xml:space="preserve">6. Nettowechselkursgewinne,</w:t>
      </w:r>
    </w:p>
    <w:p>
      <w:pPr>
        <w:ind w:left="420"/>
      </w:pPr>
      <w:r>
        <w:t xml:space="preserve">7. Versicherungsrückstellungen und abgegrenzte Versicherungsvertragsabschlusskosten,</w:t>
      </w:r>
    </w:p>
    <w:p>
      <w:pPr>
        <w:ind w:left="420"/>
      </w:pPr>
      <w:r>
        <w:t xml:space="preserve">8. Gewinne aus dem Verkauf von Sachvermögen, das in demselben Steuerhoheitsgebiet wie die Geschäftseinheit belegen ist und die in Sachvermögen in diesem Steuerhoheitsgebiet reinvestiert werden, und</w:t>
      </w:r>
    </w:p>
    <w:p>
      <w:pPr>
        <w:ind w:left="420"/>
      </w:pPr>
      <w:r>
        <w:t xml:space="preserve">9. zusätzliche Beträge, die sich aus Änderungen von Rechnungslegungsgrundsätzen in Bezug auf die in den Nummern 1 bis 8 genannten Posten ergeben.</w:t>
      </w:r>
    </w:p>
    <w:p>
      <w:r>
        <w:rPr>
          <w:color w:val="555555"/>
          <w:sz w:val="17"/>
        </w:rPr>
        <w:t xml:space="preserve">Zitiervorschlag: § 50a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https://recht.nulegal.eu/gesetze/MinStG/50a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