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MinStG — Gesamtbetrag der angepassten latenten Steuern</w:t>
      </w:r>
    </w:p>
    <w:p>
      <w:r>
        <w:rPr>
          <w:color w:val="555555"/>
          <w:sz w:val="18"/>
        </w:rPr>
        <w:t xml:space="preserve">Mindeststeuergesetz</w:t>
      </w:r>
    </w:p>
    <w:p>
      <w:r>
        <w:rPr>
          <w:color w:val="555555"/>
          <w:sz w:val="18"/>
        </w:rPr>
        <w:t xml:space="preserve">Stand: 03.01.2026 (konsolidierte Textfassung, kein amtliches Inkrafttretensdatum)</w:t>
      </w:r>
    </w:p>
    <w:p>
      <w:r>
        <w:t xml:space="preserve">(1) Der Gesamtbetrag der angepassten latenten Steuern für eine Geschäftseinheit für ein Geschäftsjahr entspricht vorbehaltlich des Absatzes 1a den im Mindeststeuer-Jahresüberschuss oder Mindeststeuer-Jahresfehlbetrag angefallenen latenten Steuern, wenn der anwendbare Steuersatz niedriger ist als der Mindeststeuersatz, und in allen anderen Fällen der unter Zugrundelegung des Mindeststeuersatzes neu berechneten latenten Steuern, die sich auf die erfassten Steuern für dieses Geschäftsjahr beziehen. Dabei sind die in den Absätzen 1a, 2 und 3 aufgeführten Anpassungen vorzunehmen sowie folgende Positionen ausgeschlossen:</w:t>
      </w:r>
    </w:p>
    <w:p>
      <w:pPr>
        <w:ind w:left="420"/>
      </w:pPr>
      <w:r>
        <w:t xml:space="preserve">1. latente Steuern in Bezug auf Posten, die nach den Vorschriften des Teils 3 bei der Ermittlung des Mindeststeuer-Gewinns oder Mindeststeuer-Verlusts auszunehmen sind oder ausgenommen werden;</w:t>
      </w:r>
    </w:p>
    <w:p>
      <w:pPr>
        <w:ind w:left="420"/>
      </w:pPr>
      <w:r>
        <w:t xml:space="preserve">2. latente Steuern in Bezug auf unzulässige Abgrenzungen im Sinne des Absatzes 4 und nicht geltend gemachte Abgrenzungen im Sinne des Absatzes 5 für das laufende Geschäftsjahr;</w:t>
      </w:r>
    </w:p>
    <w:p>
      <w:pPr>
        <w:ind w:left="420"/>
      </w:pPr>
      <w:r>
        <w:t xml:space="preserve">3. Auswirkungen von Ansatz- und Bewertungsanpassungen auf einen latenten Steueranspruch; entsprechendes gilt auch für die Verrechnung latenter Steueransprüche mit latenten Steuerschulden sowie den Verzicht auf den Ansatz eines sich insgesamt ergebenden latenten Steueranspruchs;</w:t>
      </w:r>
    </w:p>
    <w:p>
      <w:pPr>
        <w:ind w:left="420"/>
      </w:pPr>
      <w:r>
        <w:t xml:space="preserve">4. neu bemessene latente Steuern aufgrund einer Änderung des geltenden inländischen Steuersatzes;</w:t>
      </w:r>
    </w:p>
    <w:p>
      <w:pPr>
        <w:ind w:left="420"/>
      </w:pPr>
      <w:r>
        <w:t xml:space="preserve">5. latente Steuern im Zusammenhang mit der Entstehung und Nutzung von Steuergutschriften, es sei denn, es handelt sich um einen qualifizierten gebietsfremden Steueranrechnungsbetrag. Ein qualifizierter gebietsfremder Steueranrechnungsbetrag einer Geschäftseinheit im Sinne dieser Vorschrift liegt vor,</w:t>
      </w:r>
    </w:p>
    <w:p>
      <w:pPr>
        <w:ind w:left="780"/>
      </w:pPr>
      <w:r>
        <w:t xml:space="preserve">a) wenn nach dem Recht des Belegenheitsstaats der Geschäftseinheit vorgesehen ist, dass</w:t>
      </w:r>
    </w:p>
    <w:p>
      <w:pPr>
        <w:ind w:left="1140"/>
      </w:pPr>
      <w:r>
        <w:t xml:space="preserve">aa) aus dem Belegenheitsstaat stammende Verluste zunächst mit gebietsfremden Gewinnen verrechnet werden müssen, bevor eine Anrechnung gebietsfremder Steuern erfolgen kann, und</w:t>
      </w:r>
    </w:p>
    <w:p>
      <w:pPr>
        <w:ind w:left="1140"/>
      </w:pPr>
      <w:r>
        <w:t xml:space="preserve">bb) ungenutzte gebietsfremde Steueranrechnungsbeträge in nachfolgenden Besteuerungszeiträumen auf Steuern des Belegenheitsstaats in Bezug auf aus dem Belegenheitsstaat stammende Gewinne angerechnet werden können,</w:t>
      </w:r>
    </w:p>
    <w:p>
      <w:pPr>
        <w:ind w:left="780"/>
      </w:pPr>
      <w:r>
        <w:t xml:space="preserve">b) soweit die Geschäftseinheit einen aus dem Belegenheitsstaat stammenden Verlust mit einem gebietsfremden Gewinn verrechnet hat und</w:t>
      </w:r>
    </w:p>
    <w:p>
      <w:pPr>
        <w:ind w:left="780"/>
      </w:pPr>
      <w:r>
        <w:t xml:space="preserve">c) soweit der gebietsfremde Steueranrechnungsbetrag auf diesem gebietsfremden Gewinn beruht.</w:t>
      </w:r>
    </w:p>
    <w:p>
      <w:pPr>
        <w:ind w:left="420"/>
      </w:pPr>
      <w:r>
        <w:t xml:space="preserve">Als qualifizierter gebietsfremder Steueranrechnungsbetrag ist, vorbehaltlich der weiteren in diesem Paragraphen geregelten Ausschlüsse und Anpassungen, höchstens der kleinere der beiden folgenden Beträge anzusetzen:</w:t>
      </w:r>
    </w:p>
    <w:p>
      <w:pPr>
        <w:ind w:left="780"/>
      </w:pPr>
      <w:r>
        <w:t xml:space="preserve">a) Betrag der bezogen auf den gebietsfremden Gewinn gezahlten gebietsfremden Steuern,</w:t>
      </w:r>
    </w:p>
    <w:p>
      <w:pPr>
        <w:ind w:left="780"/>
      </w:pPr>
      <w:r>
        <w:t xml:space="preserve">b) verrechneter Verlust multipliziert mit dem Steuersatz, der für Berechnung der gebietsfremden Steuer maßgebend ist.</w:t>
      </w:r>
    </w:p>
    <w:p>
      <w:pPr>
        <w:ind w:left="420"/>
      </w:pPr>
      <w:r>
        <w:t xml:space="preserve">Gebietsfremde Gewinne der Geschäftseinheit im Sinne dieser Vorschrift sind Einkünfte aufgrund einer Hinzurechnungsbesteuerung oder der Besteuerung gebietsfremder Betriebsstätten, hybrider Einheiten oder umgekehrt hybrider Einheiten;</w:t>
      </w:r>
    </w:p>
    <w:p>
      <w:pPr>
        <w:ind w:left="420"/>
      </w:pPr>
      <w:r>
        <w:t xml:space="preserve">6. latente Steuern in Bezug auf eine gemischte Hinzurechnungsbesteuerung und</w:t>
      </w:r>
    </w:p>
    <w:p>
      <w:pPr>
        <w:ind w:left="420"/>
      </w:pPr>
      <w:r>
        <w:t xml:space="preserve">7. latente Steuern, für die die berichtspflichtige Geschäftseinheit einen Antrag nach § 49 Absatz 1 Satz 2 stellt.</w:t>
      </w:r>
    </w:p>
    <w:p>
      <w:r>
        <w:t xml:space="preserve">(1a) Latente Steuern einer Geschäftseinheit dürfen nur auf der Grundlage des nach diesem Gesetz im Rahmen der Mindeststeuer-Gewinnermittlung für einen Vermögenswert oder eine Schuld zugelassenen Buchwerts berücksichtigt werden (Mindeststeuer-Buchwert). Weicht der Mindeststeuer-Buchwert eines Vermögenswerts oder einer Schuld von dem der Ermittlung des Mindeststeuer-Jahresüberschusses oder Mindeststeuer-Jahresfehlbetrags zugrunde gelegten Buchwerts ab, sind die latenten Steuern auf der Grundlage des Mindeststeuer-Buchwerts neu zu berechnen und die im Mindeststeuer-Jahresüberschuss oder Mindeststeuer-Jahresfehlbetrag angefallenen latenten Steuern dementsprechend anzupassen. Bei der Neuberechnung nach Satz 2 sind die für die Bilanzierung latenter Steuern einschlägigen Bilanzierungsmethoden des für die Ermittlung des Mindeststeuer-Jahresüberschusses oder Mindeststeuer-Jahresfehlbetrags einschlägigen Rechnungslegungsstandards zu beachten. Die Sätze 1 bis 3 gelten entsprechend, wenn ein im Mindeststeuer-Jahresüberschuss oder Mindeststeuer-Jahresfehlbetrag ausgewiesener Aufwand oder Ertrag durch einen nach diesem Gesetz im Rahmen der Mindeststeuer-Gewinnermittlung zugelassenen Minderungs- oder Erhöhungsbetrag zu ersetzen oder korrigieren ist.</w:t>
      </w:r>
    </w:p>
    <w:p>
      <w:r>
        <w:t xml:space="preserve">(2) Der nach Anwendung des Absatzes 1 verbleibende Gesamtbetrag der angepassten latenten Steuern ist wie folgt anzupassen:</w:t>
      </w:r>
    </w:p>
    <w:p>
      <w:pPr>
        <w:ind w:left="420"/>
      </w:pPr>
      <w:r>
        <w:t xml:space="preserve">1. Erhöhung um den während des Geschäftsjahres tatsächlich angefallenen Betrag unzulässiger Abgrenzungen oder nicht geltend gemachter Abgrenzungen für ein früheres Geschäftsjahr,</w:t>
      </w:r>
    </w:p>
    <w:p>
      <w:pPr>
        <w:ind w:left="420"/>
      </w:pPr>
      <w:r>
        <w:t xml:space="preserve">2. Erhöhung um eine nach § 50a nachversteuerte latente Steuerschuld, soweit sie im laufenden Geschäftsjahr beglichen wurde, und</w:t>
      </w:r>
    </w:p>
    <w:p>
      <w:pPr>
        <w:ind w:left="420"/>
      </w:pPr>
      <w:r>
        <w:t xml:space="preserve">3. Minderung um den Betrag, um den sich der Gesamtbetrag im Sinne des Absatzes 1 verringert hätte, wenn für einen steuerlichen Verlustvortrag im laufenden Jahr ein latenter Steueranspruch abgegrenzt worden wäre, jedoch hierfür die Voraussetzungen für den Ansatz nicht erfüllt waren.</w:t>
      </w:r>
    </w:p>
    <w:p>
      <w:r>
        <w:t xml:space="preserve">(3) Ein latenter Steueranspruch, der nach Absatz 1 zu einem unter dem Mindeststeuersatz liegenden Steuersatz zu erfassen ist, kann abweichend von den Absätzen 1 und 2 anhand des Mindeststeuersatzes neu berechnet werden, sofern die steuerpflichtige Geschäftseinheit nachweisen kann, dass der latente Steueranspruch auf einen Mindeststeuer-Verlust dieses Geschäftsjahres zurückzuführen ist. Der Gesamtbetrag der angepassten latenten Steuern wird um den Betrag verringert, um den sich ein latenter Steueranspruch aufgrund einer Neuberechnung nach Satz 1 erhöht.</w:t>
      </w:r>
    </w:p>
    <w:p>
      <w:r>
        <w:t xml:space="preserve">(4) Unzulässige Abgrenzung bedeutet jede Veränderung des latenten Steueraufwands oder -ertrags, die</w:t>
      </w:r>
    </w:p>
    <w:p>
      <w:pPr>
        <w:ind w:left="420"/>
      </w:pPr>
      <w:r>
        <w:t xml:space="preserve">1. mit einer Ungewissheit bezüglich der steuerlichen Behandlung oder</w:t>
      </w:r>
    </w:p>
    <w:p>
      <w:pPr>
        <w:ind w:left="420"/>
      </w:pPr>
      <w:r>
        <w:t xml:space="preserve">2. mit Ausschüttungen einer Geschäftseinheit</w:t>
      </w:r>
    </w:p>
    <w:p>
      <w:r>
        <w:t xml:space="preserve">zusammenhängt.</w:t>
      </w:r>
    </w:p>
    <w:p>
      <w:r>
        <w:t xml:space="preserve">(5) Auf Antrag der berichtspflichtigen Geschäftseinheit bleiben Erhöhungen latenter Steuerschulden bei der Ermittlung des Gesamtbetrags der angepassten latenten Steuern für das betreffende Geschäftsjahr außer Ansatz (nicht geltend gemachte Abgrenzungen). Der Antrag nach Satz 1 ist zulässig für jede Erhöhung bei einer Geschäftseinheit von</w:t>
      </w:r>
    </w:p>
    <w:p>
      <w:pPr>
        <w:ind w:left="420"/>
      </w:pPr>
      <w:r>
        <w:t xml:space="preserve">1. einzelnen oder zusammengefassten latenten Steuerschulden, sofern jede dieser Steuerschulden voraussichtlich nicht innerhalb des in § 50a Absatz 1 genannten Zeitraums vollständig wieder aufgelöst werden, oder</w:t>
      </w:r>
    </w:p>
    <w:p>
      <w:pPr>
        <w:ind w:left="420"/>
      </w:pPr>
      <w:r>
        <w:t xml:space="preserve">2. sämtlichen latenten Steuerschulden einer Nachversteuerungsgruppe nach § 50a Absatz 2.</w:t>
      </w:r>
    </w:p>
    <w:p>
      <w:r>
        <w:t xml:space="preserve">Für das Wahlrecht nach Satz 2 Nummer 1 gilt § 77 Absatz 1, für das Wahlrecht nach Satz 2 Nummer 2 gilt § 77 Absatz 2.</w:t>
      </w:r>
    </w:p>
    <w:p>
      <w:r>
        <w:rPr>
          <w:color w:val="555555"/>
          <w:sz w:val="17"/>
        </w:rPr>
        <w:t xml:space="preserve">Zitiervorschlag: § 50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