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MinStG — Kürzungen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Die bei einer Geschäftseinheit im Mindeststeuer-Jahresüberschuss oder Mindeststeuer-Jahresfehlbetrag für das Geschäftsjahr erfassten Steuern werden gekürzt um</w:t>
      </w:r>
    </w:p>
    <w:p>
      <w:pPr>
        <w:ind w:left="420"/>
      </w:pPr>
      <w:r>
        <w:t xml:space="preserve">1. angefallene laufende Steuern in Zusammenhang mit Erträgen oder Gewinnen, die nach den Vorschriften des Teils 3 dieses Gesetzes bei der Ermittlung des Mindeststeuer-Gewinns oder Mindeststeuer-Verlusts auszunehmen sind oder ausgenommen werden,</w:t>
      </w:r>
    </w:p>
    <w:p>
      <w:pPr>
        <w:ind w:left="420"/>
      </w:pPr>
      <w:r>
        <w:t xml:space="preserve">2. nicht anerkannte steuerliche Zulagen (ausgenommen solcher im Sinne des § 28), soweit sie die angefallenen laufenden Steuern, soweit es sich um erfasste Steuern handelt, nicht gemindert haben; dies gilt auch für</w:t>
      </w:r>
    </w:p>
    <w:p>
      <w:pPr>
        <w:ind w:left="780"/>
      </w:pPr>
      <w:r>
        <w:t xml:space="preserve">a) das Entgelt für die Übertragung nicht-marktfähiger und übertragbarer steuerlicher Zulagen beim originär Anspruchsberechtigten,</w:t>
      </w:r>
    </w:p>
    <w:p>
      <w:pPr>
        <w:ind w:left="780"/>
      </w:pPr>
      <w:r>
        <w:t xml:space="preserve">b) einen Gewinn aus der Weiterübertragung sowie</w:t>
      </w:r>
    </w:p>
    <w:p>
      <w:pPr>
        <w:ind w:left="780"/>
      </w:pPr>
      <w:r>
        <w:t xml:space="preserve">c) die Differenz zwischen Nennwert und Kaufpreis beim Erwerber solcher Zulagen,</w:t>
      </w:r>
    </w:p>
    <w:p>
      <w:pPr>
        <w:ind w:left="420"/>
      </w:pPr>
      <w:r>
        <w:t xml:space="preserve">3. erstattete oder gutgeschriebene erfasste Steuern, ausgenommen für anerkannte steuerliche Zulagen und nicht anerkannte steuerliche Zulagen im Sinne des § 28, die im Mindeststeuer-Jahresüberschuss oder Mindeststeuer-Jahresfehlbetrag nicht als Minderung des Steueraufwands behandelt worden sind,</w:t>
      </w:r>
    </w:p>
    <w:p>
      <w:pPr>
        <w:ind w:left="420"/>
      </w:pPr>
      <w:r>
        <w:t xml:space="preserve">4. Steueraufwand für ungewisse Steuerrückstellungen und</w:t>
      </w:r>
    </w:p>
    <w:p>
      <w:pPr>
        <w:ind w:left="420"/>
      </w:pPr>
      <w:r>
        <w:t xml:space="preserve">5. Steueraufwand, der voraussichtlich nicht binnen drei Jahren nach Ablauf des Geschäftsjahres entrichtet wird.</w:t>
      </w:r>
    </w:p>
    <w:p>
      <w:r>
        <w:rPr>
          <w:color w:val="555555"/>
          <w:sz w:val="17"/>
        </w:rPr>
        <w:t xml:space="preserve">Zitiervorschlag: § 48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