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MinStG — Hinzurechnungen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Den bei einer Geschäftseinheit im Mindeststeuer-Jahresüberschuss oder Mindeststeuer-Jahresfehlbetrag für das Geschäftsjahr erfassten Steuern werden folgende Beträge hinzugerechnet:</w:t>
      </w:r>
    </w:p>
    <w:p>
      <w:pPr>
        <w:ind w:left="420"/>
      </w:pPr>
      <w:r>
        <w:t xml:space="preserve">1. erfasste Steuern, die bei der Ermittlung des Mindeststeuer-Jahresüberschusses oder Mindeststeuer-Jahresfehlbetrags als Aufwendungen im Ergebnis vor Steuern berücksichtigt worden sind,</w:t>
      </w:r>
    </w:p>
    <w:p>
      <w:pPr>
        <w:ind w:left="420"/>
      </w:pPr>
      <w:r>
        <w:t xml:space="preserve">2. Beträge, die als Folge der Inanspruchnahme des Mindeststeuer-Verlustwahlrechts nach § 51 Absatz 2 als aufgelöst gelten,</w:t>
      </w:r>
    </w:p>
    <w:p>
      <w:pPr>
        <w:ind w:left="420"/>
      </w:pPr>
      <w:r>
        <w:t xml:space="preserve">3. erfasste Steuern, die im Geschäftsjahr für ungewisse Steuerrückstellungen entrichtet worden sind, sofern die betreffenden Beträge in einem vorangegangenen Geschäftsjahr nach § 48 Nummer 4 gekürzt worden sind, und</w:t>
      </w:r>
    </w:p>
    <w:p>
      <w:pPr>
        <w:ind w:left="420"/>
      </w:pPr>
      <w:r>
        <w:t xml:space="preserve">4. anerkannte steuerliche Zulagen sowie marktfähige und übertragbare steuerliche Zulagen, die die angefallenen laufenden Steuern, soweit es sich um erfasste Steuern handelt, gemindert haben.</w:t>
      </w:r>
    </w:p>
    <w:p>
      <w:r>
        <w:rPr>
          <w:color w:val="555555"/>
          <w:sz w:val="17"/>
        </w:rPr>
        <w:t xml:space="preserve">Zitiervorschlag: § 47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