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MinStG — Betrag der angepassten erfassten Steuern einer Geschäftseinheit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Der Betrag der angepassten erfassten Steuern einer Geschäftseinheit entspricht den im Mindeststeuer-Jahresüberschuss oder Mindeststeuer-Jahresfehlbetrag im Geschäftsjahr angefallenen laufenden Steuern, soweit es sich um erfasste Steuern handelt, angepasst um</w:t>
      </w:r>
    </w:p>
    <w:p>
      <w:pPr>
        <w:ind w:left="420"/>
      </w:pPr>
      <w:r>
        <w:t xml:space="preserve">1. die Hinzurechnungen im Sinne des § 47 und die Kürzungen im Sinne des § 48 der erfassten Steuern für das Geschäftsjahr,</w:t>
      </w:r>
    </w:p>
    <w:p>
      <w:pPr>
        <w:ind w:left="420"/>
      </w:pPr>
      <w:r>
        <w:t xml:space="preserve">2. den Gesamtbetrag der angepassten latenten Steuern im Sinne des § 50,</w:t>
      </w:r>
    </w:p>
    <w:p>
      <w:pPr>
        <w:ind w:left="420"/>
      </w:pPr>
      <w:r>
        <w:t xml:space="preserve">3. Erhöhungen oder Minderungen der im Eigenkapital oder im sonstigen Ergebnis berücksichtigten erfassten Steuern in Bezug auf Bestandteile, die in die Berechnung des Mindeststeuer-Gewinns oder Mindeststeuer-Verlusts einfließen und nach dem Steuerrecht des Belegenheitsstaats der Geschäftseinheit der Besteuerung unterliegen,</w:t>
      </w:r>
    </w:p>
    <w:p>
      <w:pPr>
        <w:ind w:left="420"/>
      </w:pPr>
      <w:r>
        <w:t xml:space="preserve">4. Steuern im Sinne des § 36 Absatz 5 und</w:t>
      </w:r>
    </w:p>
    <w:p>
      <w:pPr>
        <w:ind w:left="420"/>
      </w:pPr>
      <w:r>
        <w:t xml:space="preserve">5. Anpassungen nach Teil 7 (§§ 69 bis 74).</w:t>
      </w:r>
    </w:p>
    <w:p>
      <w:r>
        <w:t xml:space="preserve">(2) Bei der Ermittlung des Betrags nach Absatz 1 darf kein Betrag erfasster Steuern mehrfach berücksichtigt werden.</w:t>
      </w:r>
    </w:p>
    <w:p>
      <w:r>
        <w:rPr>
          <w:color w:val="555555"/>
          <w:sz w:val="17"/>
        </w:rPr>
        <w:t xml:space="preserve">Zitiervorschlag: § 44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