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40 MinStG — Symmetrische Behandlung qualifizierter Währungsgewinne oder qualifizierter Währungsverluste bei Nettoinvestitionen in einen Geschäftsbetrieb</w:t>
      </w:r>
    </w:p>
    <w:p>
      <w:r>
        <w:rPr>
          <w:color w:val="555555"/>
          <w:sz w:val="18"/>
        </w:rPr>
        <w:t xml:space="preserve">Mindeststeuergesetz</w:t>
      </w:r>
    </w:p>
    <w:p>
      <w:r>
        <w:rPr>
          <w:color w:val="555555"/>
          <w:sz w:val="18"/>
        </w:rPr>
        <w:t xml:space="preserve">Stand: 28.12.2023 (konsolidierte Textfassung, kein amtliches Inkrafttretensdatum)</w:t>
      </w:r>
    </w:p>
    <w:p>
      <w:r>
        <w:t xml:space="preserve">(1) Auf Antrag der berichtspflichtigen Geschäftseinheit sind im Mindeststeuer-Jahresüberschuss oder Mindeststeuer-Jahresfehlbetrag enthaltene qualifizierte Währungsgewinne oder qualifizierte Währungsverluste einer Geschäftseinheit als ausgenommene Gewinne oder Verluste aus Eigenkapitalbeteiligungen im Sinne des § 21 zu behandeln.</w:t>
      </w:r>
    </w:p>
    <w:p>
      <w:r>
        <w:t xml:space="preserve">(2) Qualifizierte Währungsgewinne oder qualifizierte Währungsverluste sind Gewinne oder Verluste aus Währungsumrechnungsdifferenzen, soweit sie</w:t>
      </w:r>
    </w:p>
    <w:p>
      <w:pPr>
        <w:ind w:left="420"/>
      </w:pPr>
      <w:r>
        <w:t xml:space="preserve">1. die Absicherung von Währungsrisiken in Schachtelbeteiligungen (§ 20 Absatz 1 Nummer 1) betreffen, die von der Geschäftseinheit oder einer anderen Geschäftseinheit gehalten werden,</w:t>
      </w:r>
    </w:p>
    <w:p>
      <w:pPr>
        <w:ind w:left="420"/>
      </w:pPr>
      <w:r>
        <w:t xml:space="preserve">2. im Konzernabschluss im sonstigen Ergebnis erfasst sind und</w:t>
      </w:r>
    </w:p>
    <w:p>
      <w:pPr>
        <w:ind w:left="420"/>
      </w:pPr>
      <w:r>
        <w:t xml:space="preserve">3. ein Sicherungsinstrument betreffen, das nach einem zugelassenen Rechnungslegungsstandard, der bei der Aufstellung des Konzernabschlusses verwandt wird, als effektive Nettoinvestition in einen Geschäftsbetrieb zu beurteilen ist.</w:t>
      </w:r>
    </w:p>
    <w:p>
      <w:r>
        <w:t xml:space="preserve">Soweit die wirtschaftlichen und bilanziellen Folgen des Sicherungsinstruments nicht von der das Sicherungsinstrument emittierenden Geschäftseinheit, sondern von der Geschäftseinheit getragen werden, die die betreffende Schachtelbeteiligung (§ 20 Absatz 1 Nummer 1) hält, ist Absatz 1 bei dieser und nicht beim Emittenten anzuwenden.</w:t>
      </w:r>
    </w:p>
    <w:p>
      <w:r>
        <w:t xml:space="preserve">(3) Für das Wahlrecht nach Absatz 1 gilt § 77 Absatz 2; es ist für die Absicherung von Währungsrisiken in Schachtelbeteiligungen (§ 20 Absatz 1 Nummer 1) einer Geschäftseinheit einheitlich auszuüben.</w:t>
      </w:r>
    </w:p>
    <w:p>
      <w:r>
        <w:rPr>
          <w:color w:val="555555"/>
          <w:sz w:val="17"/>
        </w:rPr>
        <w:t xml:space="preserve">Zitiervorschlag: § 40 MinStG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https://recht.nulegal.eu/gesetze/MinStG/40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