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MinStG — Steuerpflicht von Gewinnen oder Verlusten bei Eigenkapitalbeteiligungen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ist § 21 für qualifizierte Gewinne oder Verluste aus Eigenkapitalbeteiligungen einer Geschäftseinheit nicht anzuwenden.</w:t>
      </w:r>
    </w:p>
    <w:p>
      <w:r>
        <w:t xml:space="preserve">(2) Qualifizierte Gewinne oder Verluste aus Eigenkapitalbeteiligungen sind Gewinne oder Verluste aus Schachtelbeteiligungen (§ 20 Absatz 1 Nummer 1), die</w:t>
      </w:r>
    </w:p>
    <w:p>
      <w:pPr>
        <w:ind w:left="420"/>
      </w:pPr>
      <w:r>
        <w:t xml:space="preserve">1. ohne Ausübung des Wahlrechts nach Absatz 1 nach § 21 ausgenommen wären und</w:t>
      </w:r>
    </w:p>
    <w:p>
      <w:pPr>
        <w:ind w:left="420"/>
      </w:pPr>
      <w:r>
        <w:t xml:space="preserve">2. im Steuerhoheitsgebiet der Geschäftseinheit, die die Eigenkapitalbeteiligung hält, steuerpflichtig und nicht von der Besteuerung ausgenommen sind. Gewinne und Verluste aus der Änderung des beizulegenden Zeitwerts sind auch dann zu berücksichtigen, wenn nur die Veräußerung der Eigenkapitalbeteiligung der Besteuerung unterliegt und nur latente Steuern hinsichtlich der Änderung des beizulegenden Zeitwerts zu erfassen sind.</w:t>
      </w:r>
    </w:p>
    <w:p>
      <w:r>
        <w:t xml:space="preserve">(3) Für das Wahlrecht nach Absatz 1 gilt § 77 Absatz 2; es ist für alle von Geschäftseinheiten eines Steuerhoheitsgebiets gehaltenen Schachtelbeteiligungen (§ 20 Absatz 1 Nummer 1) einheitlich auszuüben. Der Widerruf der Inanspruchnahme des Wahlrechts ist bezogen auf Eigenkapitalbeteiligungen nicht möglich, bei denen es infolge der Ausübung des Wahlrechts zu einer Verlustberücksichtigung gekommen ist. Für diese Eigenkapitalbeteiligungen gilt Absatz 1 ungeachtet des Widerrufs fort.</w:t>
      </w:r>
    </w:p>
    <w:p>
      <w:r>
        <w:rPr>
          <w:color w:val="555555"/>
          <w:sz w:val="17"/>
        </w:rPr>
        <w:t xml:space="preserve">Zitiervorschlag: § 39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