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MinStG — Steuerpflicht von Portfoliodividenden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(1) Auf Antrag der berichtspflichtigen Geschäftseinheit ist § 20 Absatz 1 Nummer 2 für die Ermittlung des Dividendenkürzungsbetrags einer Geschäftseinheit nicht anzuwenden.</w:t>
      </w:r>
    </w:p>
    <w:p>
      <w:r>
        <w:t xml:space="preserve">(2) Für das Wahlrecht nach Absatz 1 gilt § 77 Absatz 2; es ist für alle Beteiligungen einer Geschäftseinheit einheitlich auszuüben.</w:t>
      </w:r>
    </w:p>
    <w:p>
      <w:r>
        <w:rPr>
          <w:color w:val="555555"/>
          <w:sz w:val="17"/>
        </w:rPr>
        <w:t xml:space="preserve">Zitiervorschlag: § 38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