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MinStG — Konsolidierung</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können Erträge, Aufwendungen, Gewinne oder Verluste aus Geschäftsvorfällen zwischen Geschäftseinheiten, die in demselben Steuerhoheitsgebiet belegen sind und einem gemeinsamen Gruppenbesteuerungssystem unterliegen, nach den Konsolidierungsgrundsätzen der obersten Muttergesellschaft zusammengefasst werden.</w:t>
      </w:r>
    </w:p>
    <w:p>
      <w:r>
        <w:t xml:space="preserve">(2) Für das Wahlrecht nach Absatz 1 gilt § 77 Absatz 2; es ist für alle in einem Steuerhoheitsgebiet belegenen Geschäftseinheiten einheitlich auszuüben. Bei Widerruf der Inanspruchnahme des Wahlrechts sind Anpassungen zur Verhinderung einer Doppelerfassung oder Nichterfassung vorzunehmen.</w:t>
      </w:r>
    </w:p>
    <w:p>
      <w:r>
        <w:rPr>
          <w:color w:val="555555"/>
          <w:sz w:val="17"/>
        </w:rPr>
        <w:t xml:space="preserve">Zitiervorschlag: § 37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